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EA" w:rsidRPr="000C579F" w:rsidRDefault="009F69EA" w:rsidP="009F69EA">
      <w:pPr>
        <w:pStyle w:val="a3"/>
        <w:adjustRightInd w:val="0"/>
        <w:snapToGrid w:val="0"/>
        <w:spacing w:line="590" w:lineRule="exact"/>
        <w:rPr>
          <w:rFonts w:ascii="Times New Roman" w:eastAsia="黑体" w:hAnsi="Times New Roman" w:cs="Times New Roman"/>
          <w:bCs/>
          <w:sz w:val="32"/>
          <w:szCs w:val="32"/>
        </w:rPr>
      </w:pPr>
      <w:r w:rsidRPr="000C579F">
        <w:rPr>
          <w:rFonts w:ascii="Times New Roman" w:eastAsia="黑体" w:hAnsi="黑体" w:cs="Times New Roman"/>
          <w:bCs/>
          <w:sz w:val="32"/>
          <w:szCs w:val="32"/>
        </w:rPr>
        <w:t>附件</w:t>
      </w:r>
      <w:r w:rsidRPr="000C579F"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:rsidR="009F69EA" w:rsidRPr="0001730D" w:rsidRDefault="009F69EA" w:rsidP="009F69EA">
      <w:pPr>
        <w:pStyle w:val="a3"/>
        <w:adjustRightInd w:val="0"/>
        <w:snapToGrid w:val="0"/>
        <w:spacing w:line="590" w:lineRule="exact"/>
        <w:jc w:val="center"/>
        <w:rPr>
          <w:rStyle w:val="a4"/>
          <w:rFonts w:ascii="方正小标宋简体" w:eastAsia="方正小标宋简体"/>
          <w:b w:val="0"/>
          <w:color w:val="000000" w:themeColor="text1"/>
          <w:sz w:val="36"/>
          <w:szCs w:val="36"/>
        </w:rPr>
      </w:pPr>
      <w:r w:rsidRPr="0001730D">
        <w:rPr>
          <w:rStyle w:val="a4"/>
          <w:rFonts w:ascii="方正小标宋简体" w:eastAsia="方正小标宋简体" w:hint="eastAsia"/>
          <w:b w:val="0"/>
          <w:color w:val="000000" w:themeColor="text1"/>
          <w:sz w:val="36"/>
          <w:szCs w:val="36"/>
        </w:rPr>
        <w:t>国家发展改革委</w:t>
      </w:r>
      <w:r w:rsidRPr="0001730D">
        <w:rPr>
          <w:rStyle w:val="a4"/>
          <w:rFonts w:eastAsia="方正小标宋简体" w:hint="eastAsia"/>
          <w:b w:val="0"/>
          <w:color w:val="000000" w:themeColor="text1"/>
          <w:sz w:val="36"/>
          <w:szCs w:val="36"/>
        </w:rPr>
        <w:t> </w:t>
      </w:r>
      <w:r w:rsidRPr="0001730D">
        <w:rPr>
          <w:rStyle w:val="a4"/>
          <w:rFonts w:ascii="方正小标宋简体" w:eastAsia="方正小标宋简体" w:hint="eastAsia"/>
          <w:b w:val="0"/>
          <w:color w:val="000000" w:themeColor="text1"/>
          <w:sz w:val="36"/>
          <w:szCs w:val="36"/>
        </w:rPr>
        <w:t xml:space="preserve"> 国土资源部</w:t>
      </w:r>
      <w:r w:rsidRPr="0001730D">
        <w:rPr>
          <w:rStyle w:val="a4"/>
          <w:rFonts w:eastAsia="方正小标宋简体" w:hint="eastAsia"/>
          <w:b w:val="0"/>
          <w:color w:val="000000" w:themeColor="text1"/>
          <w:sz w:val="36"/>
          <w:szCs w:val="36"/>
        </w:rPr>
        <w:t> </w:t>
      </w:r>
      <w:r w:rsidRPr="0001730D">
        <w:rPr>
          <w:rStyle w:val="a4"/>
          <w:rFonts w:ascii="方正小标宋简体" w:eastAsia="方正小标宋简体" w:hint="eastAsia"/>
          <w:b w:val="0"/>
          <w:color w:val="000000" w:themeColor="text1"/>
          <w:sz w:val="36"/>
          <w:szCs w:val="36"/>
        </w:rPr>
        <w:t xml:space="preserve"> </w:t>
      </w:r>
      <w:r w:rsidRPr="0001730D">
        <w:rPr>
          <w:rFonts w:ascii="方正小标宋简体" w:eastAsia="方正小标宋简体" w:hAnsi="Times New Roman" w:cs="Times New Roman" w:hint="eastAsia"/>
          <w:b/>
          <w:bCs/>
          <w:color w:val="000000" w:themeColor="text1"/>
          <w:sz w:val="36"/>
          <w:szCs w:val="36"/>
        </w:rPr>
        <w:br/>
      </w:r>
      <w:r w:rsidRPr="0001730D">
        <w:rPr>
          <w:rStyle w:val="a4"/>
          <w:rFonts w:ascii="方正小标宋简体" w:eastAsia="方正小标宋简体" w:hint="eastAsia"/>
          <w:b w:val="0"/>
          <w:color w:val="000000" w:themeColor="text1"/>
          <w:sz w:val="36"/>
          <w:szCs w:val="36"/>
        </w:rPr>
        <w:t>环境保护部</w:t>
      </w:r>
      <w:r w:rsidRPr="0001730D">
        <w:rPr>
          <w:rStyle w:val="a4"/>
          <w:rFonts w:eastAsia="方正小标宋简体" w:hint="eastAsia"/>
          <w:b w:val="0"/>
          <w:color w:val="000000" w:themeColor="text1"/>
          <w:sz w:val="36"/>
          <w:szCs w:val="36"/>
        </w:rPr>
        <w:t xml:space="preserve">  </w:t>
      </w:r>
      <w:r w:rsidRPr="0001730D">
        <w:rPr>
          <w:rStyle w:val="a4"/>
          <w:rFonts w:ascii="方正小标宋简体" w:eastAsia="方正小标宋简体" w:hint="eastAsia"/>
          <w:b w:val="0"/>
          <w:color w:val="000000" w:themeColor="text1"/>
          <w:sz w:val="36"/>
          <w:szCs w:val="36"/>
        </w:rPr>
        <w:t xml:space="preserve">住房城乡建设部 </w:t>
      </w:r>
      <w:r w:rsidRPr="0001730D">
        <w:rPr>
          <w:rFonts w:ascii="方正小标宋简体" w:eastAsia="方正小标宋简体" w:hAnsi="Times New Roman" w:cs="Times New Roman" w:hint="eastAsia"/>
          <w:b/>
          <w:bCs/>
          <w:color w:val="000000" w:themeColor="text1"/>
          <w:sz w:val="36"/>
          <w:szCs w:val="36"/>
        </w:rPr>
        <w:br/>
      </w:r>
      <w:r w:rsidRPr="0001730D">
        <w:rPr>
          <w:rStyle w:val="a4"/>
          <w:rFonts w:ascii="方正小标宋简体" w:eastAsia="方正小标宋简体" w:hint="eastAsia"/>
          <w:b w:val="0"/>
          <w:color w:val="000000" w:themeColor="text1"/>
          <w:sz w:val="36"/>
          <w:szCs w:val="36"/>
        </w:rPr>
        <w:t>关于规范推进特色小镇和特色小城镇建设的若干意见</w:t>
      </w:r>
    </w:p>
    <w:p w:rsidR="009F69EA" w:rsidRDefault="009F69EA" w:rsidP="009F69EA">
      <w:pPr>
        <w:pStyle w:val="a3"/>
        <w:adjustRightInd w:val="0"/>
        <w:snapToGrid w:val="0"/>
        <w:spacing w:line="590" w:lineRule="exact"/>
        <w:jc w:val="center"/>
        <w:rPr>
          <w:rFonts w:hAnsi="Times New Roman" w:cs="Times New Roman"/>
          <w:b/>
        </w:rPr>
      </w:pPr>
    </w:p>
    <w:p w:rsidR="009F69EA" w:rsidRPr="000C579F" w:rsidRDefault="009F69EA" w:rsidP="009F69EA">
      <w:pPr>
        <w:pStyle w:val="a3"/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各省、自治区、直辖市人民政府，新疆生产建设兵团：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特色小镇是在几平方公里土地上集聚特色产业、生产生活生态空间相融合、不同于行政建制镇和产业园区的创新创业平台。特色小城镇是拥有几十平方公里以上土地和一定人口经济规模、特色产业鲜明的行政建制镇。近年来，各地区各有关部门认真贯彻落实党中央国务院决策部署，积极稳妥推进特色小镇和小城镇建设，取得了一些进展，积累了一些经验，涌现出一批产业特色鲜明、要素集聚、宜居宜业、富有活力的特色小镇。但在推进过程中，也出现了概念不清、定位不准、急于求成、盲目发展以及市场化不足等问题，有些地区甚至存在政府债务风险加剧和房地产化的苗头。为深入贯彻落实党中央国务院领导同志重要批示指示精神，现就规范推进各地区特色小镇和小城镇建设提出以下意见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黑体" w:eastAsia="黑体" w:hAnsi="黑体" w:cs="Times New Roman"/>
          <w:color w:val="000000" w:themeColor="text1"/>
          <w:sz w:val="32"/>
          <w:szCs w:val="32"/>
        </w:rPr>
        <w:t xml:space="preserve">　　一、总体要求 </w:t>
      </w:r>
      <w:r w:rsidRPr="000C579F">
        <w:rPr>
          <w:rFonts w:ascii="黑体" w:eastAsia="黑体" w:hAnsi="黑体" w:cs="Times New Roman"/>
          <w:color w:val="000000" w:themeColor="text1"/>
          <w:sz w:val="32"/>
          <w:szCs w:val="32"/>
        </w:rPr>
        <w:br/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 xml:space="preserve">　　（一）指导思想。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深入学习贯彻党的十九大精神，以习近平新时代中国特色社会主义思想为指导，坚持以人民为中心，坚持贯彻新发展理念，把特色小镇和小城镇建设作为供给侧结构性改革的重要平台，因地制宜、改革创新，发展产业特色鲜明、服务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便捷高效、文化浓郁深厚、环境美丽宜人、体制机制灵活的特色小镇和小城镇，促进新型城镇化建设和经济转型升级。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</w:t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 xml:space="preserve">　</w:t>
      </w:r>
      <w:r w:rsidRPr="000717A7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（二）基本原则。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坚持创新探索。创新工作思路、方法和机制，着力培育供给侧小镇经济，努力走出一条特色鲜明、产城融合、惠及群众的新路子，防止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新瓶装旧酒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穿新鞋走老路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坚持因地制宜。从各地区实际出发，遵循客观规律，实事求是、量力而行、控制数量、提高质量，体现区域差异性，提倡形态多样性，不搞区域平衡、产业平衡、数量要求和政绩考核，防止盲目发展、一哄而上。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坚持产业建镇。立足各地区要素禀赋和比较优势，挖掘最有基础、最具潜力、最能成长的特色产业，做精做强主导特色产业，打造具有核心竞争力和可持续发展特征的独特产业生态，防止千镇一面和房地产化。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坚持以人为本。围绕人的城镇化，统筹生产生活生态空间布局，提升服务功能、环境质量、文化内涵和发展品质，打造宜居宜业环境，提高人民获得感和幸福感，防止政绩工程和形象工程。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坚持市场主导。按照政府引导、企业主体、市场化运作的要求，创新建设模式、管理方式和服务手段，推动多元化主体同心同向、共建共享，发挥政府制定规划政策、搭建发展平台等作用，防止政府大包大揽和加剧债务风险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黑体" w:eastAsia="黑体" w:hAnsi="黑体" w:cs="Times New Roman"/>
          <w:color w:val="000000" w:themeColor="text1"/>
          <w:sz w:val="32"/>
          <w:szCs w:val="32"/>
        </w:rPr>
        <w:t xml:space="preserve">　　二、重点任务 </w:t>
      </w:r>
      <w:r w:rsidRPr="000C579F">
        <w:rPr>
          <w:rFonts w:ascii="黑体" w:eastAsia="黑体" w:hAnsi="黑体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</w:t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（三）准确把握特色小镇内涵。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各地区要准确理解特色小镇内涵特质，立足产业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特而强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、功能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聚而合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、形态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小而美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、机制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新而活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，推动创新性供给与个性化需求有效对接，打造创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新创业发展平台和新型城镇化有效载体。不能把特色小镇当成筐、什么都往里装，不能盲目把产业园区、旅游景区、体育基地、美丽乡村、田园综合体以及行政建制镇戴上特色小镇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帽子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。各地区可结合产业空间布局优化和产城融合，循序渐进发展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市郊镇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市中镇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园中镇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镇中镇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等不同类型特色小镇；依托大城市周边的重点镇培育发展卫星城，依托有特色资源的重点镇培育发展专业特色小城镇。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</w:t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（四）遵循城镇化发展规律。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浙江特色小镇是经济发展到一定阶段的产物，具备相应的要素和产业基础。各地区发展很不平衡，要按规律办事，树立正确政绩观和功成不必在我的理念，科学把握浙江经验的可复制和不可复制内容，合理借鉴其理念方法、精神实质和创新精神，追求慢工出细活出精品，避免脱离实际照搬照抄。特别是中西部地区要从实际出发，科学推进特色小镇和小城镇建设布局，走少而特、少而精、少而专的发展之路，避免盲目发展、过度追求数量目标和投资规模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 xml:space="preserve">　　（五）注重打造鲜明特色。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地区在推进特色小镇和小城镇建设过程中，要立足区位条件、资源禀赋、产业积淀和地域特征，以特色产业为核心，兼顾特色文化、特色功能和特色建筑，找准特色、凸显特色、放大特色，防止内容重复、形态雷同、特色不鲜明和同质化竞争。聚焦高端产业和产业高端方向，着力发展优势主导特色产业，延伸产业链、提升价值链、创新供应链，吸引人才、技术、资金等高端要素集聚，打造特色产业集群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</w:t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 xml:space="preserve">　（六）有效推进“三生融合”。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各地区要立足以人为本，科学规划特色小镇的生产、生活、生态空间，促进产城人文融合发展，营造宜居宜业环境，提高集聚人口能力和人民群众获得感。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留存原住居民生活空间，防止将原住居民整体迁出。增强生活服务功能，构建便捷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生活圈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、完善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服务圈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和繁荣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商业圈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。提炼文化经典元素和标志性符号，合理应用于建设运营及公共空间。保护特色景观资源，将美丽资源转化为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美丽经济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</w:t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（七）厘清政府与市场边界。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地区要以企业为特色小镇和小城镇建设主力军，引导企业有效投资、对标一流、扩大高端供给，激发企业家创造力和人民消费需求。鼓励大中型企业独立或牵头打造特色小镇，培育特色小镇投资运营商，避免项目简单堆砌和碎片化开发。发挥政府强化规划引导、营造制度环境、提供设施服务等作用，顺势而为、因势利导，不要过度干预。鼓励利用财政资金联合社会资本，共同发起特色小镇建设基金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</w:t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（八）实行创建达标制度。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各地区要控制特色小镇和小城镇建设数量，避免分解指标、层层加码。统一实行宽进严定、动态淘汰的创建达标制度，取消一次性命名制，避免各地区只管前期申报、不管后期发展。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</w:t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（九）严防政府债务风险。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各地区要注重引入央企、国企和大中型民企等作为特色小镇主要投资运营商，尽可能避免政府举债建设进而加重债务包袱。县级政府综合债务率超过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100%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的风险预警地区，不得通过融资平台公司变相举债立项建设。统筹考虑综合债务率、现有财力、资金筹措和还款来源，稳妥把握配套设施建设节奏。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</w:t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（十）严控房地产化倾向。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地区要综合考虑特色小镇和小城镇吸纳就业和常住人口规模，从严控制房地产开发，合理确定住宅用地比例，并结合所在市县商品住房库存消化周期确定供应时序。适度提高产业及商业用地比例，鼓励优先发展产业。科学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论证企业创建特色小镇规划，对产业内容、盈利模式和后期运营方案进行重点把关，防范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假小镇真地产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</w:t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（十一）严格节约集约用地。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地区要落实最严格的耕地保护制度和最严格的节约用地制度，在符合土地利用总体规划和城乡规划的前提下，划定特色小镇和小城镇发展边界，避免另起炉灶、大拆大建。鼓励盘活存量和低效建设用地，严控新增建设用地规模，全面实行建设用地增减挂钩政策，不得占用永久基本农田。合理控制特色小镇四至范围，规划用地面积控制在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平方公里左右，其中建设用地面积控制在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平方公里左右，旅游、体育和农业类特色小镇可适当放宽。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</w:t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（十二）严守生态保护红线。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地区要按照《关于划定并严守生态保护红线的若干意见》要求，依据应划尽划、应保尽保原则完成生态保护红线划定工作。严禁以特色小镇和小城镇建设名义破坏生态，严格保护自然保护区、文化自然遗产、风景名胜区、森林公园和地质公园等区域，严禁挖山填湖、破坏山水田园。严把特色小镇和小城镇产业准入关，防止引入高污染高耗能产业，加强环境治理设施建设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黑体" w:eastAsia="黑体" w:hAnsi="黑体" w:cs="Times New Roman"/>
          <w:color w:val="000000" w:themeColor="text1"/>
          <w:sz w:val="32"/>
          <w:szCs w:val="32"/>
        </w:rPr>
        <w:t xml:space="preserve">　　三、组织实施 </w:t>
      </w:r>
      <w:r w:rsidRPr="000C579F">
        <w:rPr>
          <w:rFonts w:ascii="黑体" w:eastAsia="黑体" w:hAnsi="黑体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</w:t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（十三）提高思想认识。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各地区要深刻认识特色小镇和小城镇建设的重要意义，将其作为深入推进供给侧结构性改革的重要平台，以及推进经济转型升级和新型城镇化建设的重要抓手，切实抓好组织实施。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</w:t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（十四）压实省级责任。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各省级人民政府要强化主体责任意识，按照本意见要求，整合各方力量，及时规范纠偏，调整优化实施方案、创建数量和配套政策，加强统计监测。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 xml:space="preserve">　</w:t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 xml:space="preserve">　（十五）加强部门统筹。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充分发挥推进新型城镇化工作部际联席会议机制的作用，由国家发展改革委牵头，会同国土资源、环境保护、住房城乡建设等有关部门，共同推进特色小镇和小城镇建设工作，加强对各地区的监督检查评估。国务院有关部门对已公布的两批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403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个全国特色小城镇、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96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个全国运动休闲特色小镇等，开展定期测评和优胜劣汰。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</w:t>
      </w:r>
      <w:r w:rsidRPr="000C579F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 xml:space="preserve">　（十六）做好宣传引导。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发挥主流媒体舆论宣传作用，持续跟踪报道建设进展，发现新短板新问题，总结好样板好案例，形成全社会关注关心的良好氛围。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　　</w:t>
      </w:r>
    </w:p>
    <w:p w:rsidR="009F69EA" w:rsidRPr="000C579F" w:rsidRDefault="009F69EA" w:rsidP="009F69EA">
      <w:pPr>
        <w:pStyle w:val="a3"/>
        <w:adjustRightInd w:val="0"/>
        <w:snapToGrid w:val="0"/>
        <w:spacing w:line="590" w:lineRule="exact"/>
        <w:jc w:val="righ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>国家发展改革委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>国土资源部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环境保护部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住房城乡建设部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br/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　　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>2017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>12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>4</w:t>
      </w:r>
      <w:r w:rsidRPr="000C579F"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</w:p>
    <w:p w:rsidR="009F69EA" w:rsidRPr="000C579F" w:rsidRDefault="009F69EA" w:rsidP="009F69EA">
      <w:pPr>
        <w:adjustRightInd w:val="0"/>
        <w:snapToGrid w:val="0"/>
        <w:spacing w:line="590" w:lineRule="exact"/>
        <w:rPr>
          <w:rFonts w:ascii="Times New Roman" w:eastAsia="仿宋_GB2312" w:hAnsi="Times New Roman"/>
          <w:sz w:val="32"/>
          <w:szCs w:val="32"/>
        </w:rPr>
      </w:pPr>
    </w:p>
    <w:p w:rsidR="009F69EA" w:rsidRPr="00612527" w:rsidRDefault="009F69EA" w:rsidP="009F69EA"/>
    <w:p w:rsidR="00E75A44" w:rsidRPr="009F69EA" w:rsidRDefault="00E75A44" w:rsidP="009F69EA"/>
    <w:sectPr w:rsidR="00E75A44" w:rsidRPr="009F69EA" w:rsidSect="000C579F">
      <w:footerReference w:type="even" r:id="rId6"/>
      <w:footerReference w:type="default" r:id="rId7"/>
      <w:pgSz w:w="11906" w:h="16838"/>
      <w:pgMar w:top="2098" w:right="1474" w:bottom="1440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57" w:rsidRDefault="00095357" w:rsidP="009F69EA">
      <w:r>
        <w:separator/>
      </w:r>
    </w:p>
  </w:endnote>
  <w:endnote w:type="continuationSeparator" w:id="0">
    <w:p w:rsidR="00095357" w:rsidRDefault="00095357" w:rsidP="009F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0371"/>
      <w:docPartObj>
        <w:docPartGallery w:val="Page Numbers (Bottom of Page)"/>
        <w:docPartUnique/>
      </w:docPartObj>
    </w:sdtPr>
    <w:sdtEndPr/>
    <w:sdtContent>
      <w:p w:rsidR="000C579F" w:rsidRDefault="00095357">
        <w:pPr>
          <w:pStyle w:val="a6"/>
        </w:pPr>
        <w:r w:rsidRPr="00765F3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765F38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765F3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117A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765F3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037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C579F" w:rsidRPr="00765F38" w:rsidRDefault="00095357" w:rsidP="000C579F">
        <w:pPr>
          <w:pStyle w:val="a6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765F3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765F38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765F3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9F69EA" w:rsidRPr="009F69E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9F69EA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765F3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57" w:rsidRDefault="00095357" w:rsidP="009F69EA">
      <w:r>
        <w:separator/>
      </w:r>
    </w:p>
  </w:footnote>
  <w:footnote w:type="continuationSeparator" w:id="0">
    <w:p w:rsidR="00095357" w:rsidRDefault="00095357" w:rsidP="009F6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527"/>
    <w:rsid w:val="00075071"/>
    <w:rsid w:val="00095357"/>
    <w:rsid w:val="00612527"/>
    <w:rsid w:val="009F69EA"/>
    <w:rsid w:val="00E7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5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12527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F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F69E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F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F69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3</cp:revision>
  <dcterms:created xsi:type="dcterms:W3CDTF">2018-06-25T07:58:00Z</dcterms:created>
  <dcterms:modified xsi:type="dcterms:W3CDTF">2018-06-26T02:35:00Z</dcterms:modified>
</cp:coreProperties>
</file>