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b/>
          <w:sz w:val="28"/>
          <w:szCs w:val="28"/>
          <w:lang w:eastAsia="zh-CN"/>
        </w:rPr>
      </w:pPr>
      <w:r>
        <w:rPr>
          <w:rFonts w:hint="eastAsia"/>
          <w:b/>
          <w:sz w:val="28"/>
          <w:szCs w:val="28"/>
          <w:lang w:eastAsia="zh-CN"/>
        </w:rPr>
        <w:t>附件</w:t>
      </w:r>
    </w:p>
    <w:p>
      <w:pPr>
        <w:jc w:val="center"/>
        <w:rPr>
          <w:b/>
          <w:sz w:val="36"/>
          <w:szCs w:val="36"/>
        </w:rPr>
      </w:pPr>
      <w:r>
        <w:rPr>
          <w:rFonts w:hint="eastAsia"/>
          <w:b/>
          <w:sz w:val="36"/>
          <w:szCs w:val="36"/>
        </w:rPr>
        <w:t>物业企业春节期间离桂返桂员工</w:t>
      </w:r>
      <w:r>
        <w:rPr>
          <w:rFonts w:hint="eastAsia"/>
          <w:b/>
          <w:sz w:val="36"/>
          <w:szCs w:val="36"/>
          <w:lang w:eastAsia="zh-CN"/>
        </w:rPr>
        <w:t>疫情防控</w:t>
      </w:r>
      <w:r>
        <w:rPr>
          <w:rFonts w:hint="eastAsia"/>
          <w:b/>
          <w:sz w:val="36"/>
          <w:szCs w:val="36"/>
        </w:rPr>
        <w:t>登记表</w:t>
      </w:r>
    </w:p>
    <w:p>
      <w:pPr>
        <w:rPr>
          <w:rFonts w:hint="eastAsia"/>
          <w:b/>
          <w:sz w:val="24"/>
        </w:rPr>
      </w:pPr>
    </w:p>
    <w:tbl>
      <w:tblPr>
        <w:tblStyle w:val="4"/>
        <w:tblpPr w:leftFromText="180" w:rightFromText="180" w:vertAnchor="page" w:horzAnchor="page" w:tblpX="1057" w:tblpY="3359"/>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76"/>
        <w:gridCol w:w="1842"/>
        <w:gridCol w:w="1843"/>
        <w:gridCol w:w="2410"/>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735" w:type="dxa"/>
            <w:gridSpan w:val="2"/>
            <w:vAlign w:val="center"/>
          </w:tcPr>
          <w:p>
            <w:pPr>
              <w:jc w:val="center"/>
              <w:rPr>
                <w:b/>
                <w:sz w:val="24"/>
              </w:rPr>
            </w:pPr>
            <w:r>
              <w:rPr>
                <w:rFonts w:hint="eastAsia"/>
                <w:b/>
                <w:sz w:val="24"/>
              </w:rPr>
              <w:t>个人姓名</w:t>
            </w:r>
          </w:p>
        </w:tc>
        <w:tc>
          <w:tcPr>
            <w:tcW w:w="3685" w:type="dxa"/>
            <w:gridSpan w:val="2"/>
            <w:vAlign w:val="center"/>
          </w:tcPr>
          <w:p>
            <w:pPr>
              <w:jc w:val="center"/>
              <w:rPr>
                <w:b/>
                <w:sz w:val="24"/>
              </w:rPr>
            </w:pPr>
            <w:r>
              <w:rPr>
                <w:rFonts w:hint="eastAsia"/>
                <w:b/>
                <w:sz w:val="24"/>
              </w:rPr>
              <w:t>身份证号码</w:t>
            </w:r>
          </w:p>
        </w:tc>
        <w:tc>
          <w:tcPr>
            <w:tcW w:w="2410" w:type="dxa"/>
            <w:vAlign w:val="center"/>
          </w:tcPr>
          <w:p>
            <w:pPr>
              <w:jc w:val="center"/>
              <w:rPr>
                <w:b/>
                <w:sz w:val="24"/>
              </w:rPr>
            </w:pPr>
            <w:r>
              <w:rPr>
                <w:rFonts w:hint="eastAsia"/>
                <w:b/>
                <w:sz w:val="24"/>
              </w:rPr>
              <w:t>联系电话（手机）</w:t>
            </w:r>
          </w:p>
        </w:tc>
        <w:tc>
          <w:tcPr>
            <w:tcW w:w="2037" w:type="dxa"/>
            <w:vAlign w:val="center"/>
          </w:tcPr>
          <w:p>
            <w:pPr>
              <w:jc w:val="center"/>
              <w:rPr>
                <w:b/>
                <w:sz w:val="24"/>
              </w:rPr>
            </w:pPr>
            <w:r>
              <w:rPr>
                <w:rFonts w:hint="eastAsia"/>
                <w:b/>
                <w:sz w:val="24"/>
              </w:rPr>
              <w:t>所在项目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735" w:type="dxa"/>
            <w:gridSpan w:val="2"/>
            <w:vAlign w:val="center"/>
          </w:tcPr>
          <w:p>
            <w:pPr>
              <w:jc w:val="center"/>
              <w:rPr>
                <w:b/>
                <w:sz w:val="24"/>
              </w:rPr>
            </w:pPr>
          </w:p>
        </w:tc>
        <w:tc>
          <w:tcPr>
            <w:tcW w:w="3685" w:type="dxa"/>
            <w:gridSpan w:val="2"/>
            <w:vAlign w:val="center"/>
          </w:tcPr>
          <w:p>
            <w:pPr>
              <w:jc w:val="center"/>
              <w:rPr>
                <w:b/>
                <w:sz w:val="24"/>
              </w:rPr>
            </w:pPr>
          </w:p>
        </w:tc>
        <w:tc>
          <w:tcPr>
            <w:tcW w:w="2410" w:type="dxa"/>
            <w:vAlign w:val="center"/>
          </w:tcPr>
          <w:p>
            <w:pPr>
              <w:jc w:val="center"/>
              <w:rPr>
                <w:b/>
                <w:sz w:val="24"/>
              </w:rPr>
            </w:pPr>
          </w:p>
        </w:tc>
        <w:tc>
          <w:tcPr>
            <w:tcW w:w="2037" w:type="dxa"/>
            <w:vAlign w:val="center"/>
          </w:tcPr>
          <w:p>
            <w:pPr>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35" w:type="dxa"/>
            <w:gridSpan w:val="2"/>
            <w:vAlign w:val="center"/>
          </w:tcPr>
          <w:p>
            <w:pPr>
              <w:jc w:val="center"/>
              <w:rPr>
                <w:b/>
                <w:sz w:val="24"/>
              </w:rPr>
            </w:pPr>
            <w:r>
              <w:rPr>
                <w:rFonts w:hint="eastAsia"/>
                <w:b/>
                <w:sz w:val="24"/>
              </w:rPr>
              <w:t>春节期间计划目的地</w:t>
            </w:r>
          </w:p>
        </w:tc>
        <w:tc>
          <w:tcPr>
            <w:tcW w:w="1842" w:type="dxa"/>
            <w:vAlign w:val="center"/>
          </w:tcPr>
          <w:p>
            <w:pPr>
              <w:jc w:val="center"/>
              <w:rPr>
                <w:b/>
                <w:sz w:val="24"/>
              </w:rPr>
            </w:pPr>
            <w:r>
              <w:rPr>
                <w:rFonts w:hint="eastAsia"/>
                <w:b/>
                <w:sz w:val="24"/>
              </w:rPr>
              <w:t>去往目的地日期</w:t>
            </w:r>
          </w:p>
        </w:tc>
        <w:tc>
          <w:tcPr>
            <w:tcW w:w="1843" w:type="dxa"/>
            <w:vAlign w:val="center"/>
          </w:tcPr>
          <w:p>
            <w:pPr>
              <w:jc w:val="center"/>
              <w:rPr>
                <w:b/>
                <w:sz w:val="24"/>
              </w:rPr>
            </w:pPr>
            <w:r>
              <w:rPr>
                <w:rFonts w:hint="eastAsia"/>
                <w:b/>
                <w:sz w:val="24"/>
              </w:rPr>
              <w:t>计划回到广西日期</w:t>
            </w:r>
          </w:p>
        </w:tc>
        <w:tc>
          <w:tcPr>
            <w:tcW w:w="2410" w:type="dxa"/>
            <w:vAlign w:val="center"/>
          </w:tcPr>
          <w:p>
            <w:pPr>
              <w:jc w:val="center"/>
              <w:rPr>
                <w:b/>
                <w:sz w:val="24"/>
              </w:rPr>
            </w:pPr>
            <w:r>
              <w:rPr>
                <w:rFonts w:hint="eastAsia"/>
                <w:b/>
                <w:sz w:val="24"/>
              </w:rPr>
              <w:t>交通方式</w:t>
            </w:r>
          </w:p>
        </w:tc>
        <w:tc>
          <w:tcPr>
            <w:tcW w:w="2037" w:type="dxa"/>
            <w:vAlign w:val="center"/>
          </w:tcPr>
          <w:p>
            <w:pPr>
              <w:jc w:val="center"/>
              <w:rPr>
                <w:b/>
                <w:sz w:val="24"/>
              </w:rPr>
            </w:pPr>
            <w:r>
              <w:rPr>
                <w:rFonts w:hint="eastAsia"/>
                <w:b/>
                <w:sz w:val="24"/>
              </w:rPr>
              <w:t>返柳居住地所在社区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735" w:type="dxa"/>
            <w:gridSpan w:val="2"/>
            <w:vAlign w:val="center"/>
          </w:tcPr>
          <w:p>
            <w:pPr>
              <w:jc w:val="center"/>
              <w:rPr>
                <w:b/>
                <w:sz w:val="24"/>
              </w:rPr>
            </w:pPr>
          </w:p>
        </w:tc>
        <w:tc>
          <w:tcPr>
            <w:tcW w:w="1842" w:type="dxa"/>
            <w:vAlign w:val="center"/>
          </w:tcPr>
          <w:p>
            <w:pPr>
              <w:rPr>
                <w:b/>
                <w:sz w:val="24"/>
              </w:rPr>
            </w:pPr>
          </w:p>
        </w:tc>
        <w:tc>
          <w:tcPr>
            <w:tcW w:w="1843" w:type="dxa"/>
            <w:vAlign w:val="center"/>
          </w:tcPr>
          <w:p>
            <w:pPr>
              <w:rPr>
                <w:b/>
                <w:sz w:val="24"/>
              </w:rPr>
            </w:pPr>
          </w:p>
        </w:tc>
        <w:tc>
          <w:tcPr>
            <w:tcW w:w="2410" w:type="dxa"/>
            <w:vAlign w:val="center"/>
          </w:tcPr>
          <w:p>
            <w:pPr>
              <w:ind w:firstLine="482" w:firstLineChars="200"/>
              <w:rPr>
                <w:b/>
                <w:sz w:val="24"/>
              </w:rPr>
            </w:pPr>
          </w:p>
        </w:tc>
        <w:tc>
          <w:tcPr>
            <w:tcW w:w="2037" w:type="dxa"/>
            <w:vAlign w:val="center"/>
          </w:tcPr>
          <w:p>
            <w:pPr>
              <w:jc w:val="center"/>
              <w:rPr>
                <w:b/>
                <w:sz w:val="24"/>
              </w:rPr>
            </w:pP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735" w:type="dxa"/>
            <w:gridSpan w:val="2"/>
            <w:vAlign w:val="center"/>
          </w:tcPr>
          <w:p>
            <w:pPr>
              <w:jc w:val="center"/>
              <w:rPr>
                <w:b/>
                <w:sz w:val="24"/>
              </w:rPr>
            </w:pPr>
          </w:p>
        </w:tc>
        <w:tc>
          <w:tcPr>
            <w:tcW w:w="1842" w:type="dxa"/>
            <w:vAlign w:val="center"/>
          </w:tcPr>
          <w:p>
            <w:pPr>
              <w:rPr>
                <w:b/>
                <w:sz w:val="24"/>
              </w:rPr>
            </w:pPr>
          </w:p>
        </w:tc>
        <w:tc>
          <w:tcPr>
            <w:tcW w:w="1843" w:type="dxa"/>
            <w:vAlign w:val="center"/>
          </w:tcPr>
          <w:p>
            <w:pPr>
              <w:rPr>
                <w:b/>
                <w:sz w:val="24"/>
              </w:rPr>
            </w:pPr>
          </w:p>
        </w:tc>
        <w:tc>
          <w:tcPr>
            <w:tcW w:w="2410" w:type="dxa"/>
            <w:vAlign w:val="center"/>
          </w:tcPr>
          <w:p>
            <w:pPr>
              <w:ind w:firstLine="482" w:firstLineChars="200"/>
              <w:rPr>
                <w:b/>
                <w:sz w:val="24"/>
              </w:rPr>
            </w:pPr>
          </w:p>
        </w:tc>
        <w:tc>
          <w:tcPr>
            <w:tcW w:w="2037" w:type="dxa"/>
            <w:vAlign w:val="center"/>
          </w:tcPr>
          <w:p>
            <w:pPr>
              <w:jc w:val="center"/>
              <w:rPr>
                <w:b/>
                <w:sz w:val="24"/>
              </w:rPr>
            </w:pP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67" w:type="dxa"/>
            <w:gridSpan w:val="6"/>
            <w:vAlign w:val="center"/>
          </w:tcPr>
          <w:p>
            <w:pPr>
              <w:spacing w:line="360" w:lineRule="auto"/>
              <w:ind w:firstLine="602" w:firstLineChars="250"/>
              <w:rPr>
                <w:rFonts w:hint="eastAsia"/>
                <w:b/>
                <w:sz w:val="24"/>
                <w:lang w:eastAsia="zh-CN"/>
              </w:rPr>
            </w:pPr>
            <w:r>
              <w:rPr>
                <w:rFonts w:hint="eastAsia"/>
                <w:b/>
                <w:sz w:val="24"/>
                <w:lang w:eastAsia="zh-CN"/>
              </w:rPr>
              <w:t>疫情防控须知：</w:t>
            </w:r>
          </w:p>
          <w:p>
            <w:pPr>
              <w:spacing w:line="360" w:lineRule="auto"/>
              <w:ind w:firstLine="602" w:firstLineChars="250"/>
              <w:rPr>
                <w:rFonts w:hint="eastAsia"/>
                <w:b/>
                <w:sz w:val="24"/>
              </w:rPr>
            </w:pPr>
            <w:r>
              <w:rPr>
                <w:rFonts w:hint="eastAsia"/>
                <w:b/>
                <w:sz w:val="24"/>
              </w:rPr>
              <w:t>1.</w:t>
            </w:r>
            <w:r>
              <w:rPr>
                <w:rFonts w:hint="eastAsia"/>
                <w:b/>
                <w:sz w:val="24"/>
                <w:lang w:eastAsia="zh-CN"/>
              </w:rPr>
              <w:t>应</w:t>
            </w:r>
            <w:bookmarkStart w:id="0" w:name="_GoBack"/>
            <w:bookmarkEnd w:id="0"/>
            <w:r>
              <w:rPr>
                <w:rFonts w:hint="eastAsia"/>
                <w:b/>
                <w:sz w:val="24"/>
                <w:lang w:eastAsia="zh-CN"/>
              </w:rPr>
              <w:t>充分了解</w:t>
            </w:r>
            <w:r>
              <w:rPr>
                <w:rFonts w:hint="eastAsia" w:ascii="仿宋" w:hAnsi="仿宋" w:eastAsia="仿宋"/>
                <w:sz w:val="32"/>
                <w:szCs w:val="32"/>
              </w:rPr>
              <w:t>《</w:t>
            </w:r>
            <w:r>
              <w:rPr>
                <w:rFonts w:hint="eastAsia"/>
                <w:b/>
                <w:sz w:val="24"/>
                <w:lang w:eastAsia="zh-CN"/>
              </w:rPr>
              <w:t>广西壮族自治区新型冠状病毒感染的肺炎疫情防控工作领导小组指挥部关于做好2021年元旦春节期间新冠肺炎疫情防控工作的通知》（桂新冠防指发〔2020〕208号）、《关于进一步加强柳州市物业企业2021年春节期间疫情防控工作的通知》等文件要求</w:t>
            </w:r>
            <w:r>
              <w:rPr>
                <w:rFonts w:hint="eastAsia"/>
                <w:b/>
                <w:sz w:val="24"/>
              </w:rPr>
              <w:t>；</w:t>
            </w:r>
          </w:p>
          <w:p>
            <w:pPr>
              <w:spacing w:line="360" w:lineRule="auto"/>
              <w:ind w:firstLine="602" w:firstLineChars="250"/>
              <w:rPr>
                <w:rFonts w:hint="default" w:eastAsia="宋体"/>
                <w:b/>
                <w:sz w:val="24"/>
                <w:lang w:val="en-US" w:eastAsia="zh-CN"/>
              </w:rPr>
            </w:pPr>
            <w:r>
              <w:rPr>
                <w:rFonts w:hint="eastAsia"/>
                <w:b/>
                <w:sz w:val="24"/>
                <w:lang w:val="en-US" w:eastAsia="zh-CN"/>
              </w:rPr>
              <w:t>2.及时关注国内官方媒体发布的疫情中高风险地区的更新情况及更新防控要求。</w:t>
            </w:r>
          </w:p>
          <w:p>
            <w:pPr>
              <w:tabs>
                <w:tab w:val="left" w:pos="272"/>
              </w:tabs>
              <w:ind w:firstLine="5903" w:firstLineChars="2450"/>
              <w:jc w:val="left"/>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9867" w:type="dxa"/>
            <w:gridSpan w:val="6"/>
            <w:vAlign w:val="center"/>
          </w:tcPr>
          <w:p>
            <w:pPr>
              <w:spacing w:line="360" w:lineRule="auto"/>
              <w:ind w:firstLine="602" w:firstLineChars="250"/>
              <w:rPr>
                <w:rFonts w:hint="eastAsia"/>
                <w:b/>
                <w:sz w:val="24"/>
                <w:lang w:eastAsia="zh-CN"/>
              </w:rPr>
            </w:pPr>
            <w:r>
              <w:rPr>
                <w:rFonts w:hint="eastAsia"/>
                <w:b/>
                <w:sz w:val="24"/>
                <w:lang w:eastAsia="zh-CN"/>
              </w:rPr>
              <w:t>本人承诺：</w:t>
            </w:r>
          </w:p>
          <w:p>
            <w:pPr>
              <w:spacing w:line="360" w:lineRule="auto"/>
              <w:ind w:firstLine="602" w:firstLineChars="250"/>
              <w:rPr>
                <w:rFonts w:hint="default"/>
                <w:b/>
                <w:sz w:val="24"/>
                <w:lang w:val="en-US" w:eastAsia="zh-CN"/>
              </w:rPr>
            </w:pPr>
            <w:r>
              <w:rPr>
                <w:rFonts w:hint="eastAsia"/>
                <w:b/>
                <w:sz w:val="24"/>
                <w:lang w:val="en-US" w:eastAsia="zh-CN"/>
              </w:rPr>
              <w:t>1.遵守</w:t>
            </w:r>
            <w:r>
              <w:rPr>
                <w:rFonts w:hint="eastAsia" w:ascii="仿宋" w:hAnsi="仿宋" w:eastAsia="仿宋"/>
                <w:sz w:val="32"/>
                <w:szCs w:val="32"/>
              </w:rPr>
              <w:t>《</w:t>
            </w:r>
            <w:r>
              <w:rPr>
                <w:rFonts w:hint="eastAsia"/>
                <w:b/>
                <w:sz w:val="24"/>
                <w:lang w:eastAsia="zh-CN"/>
              </w:rPr>
              <w:t>广西壮族自治区新型冠状病毒感染的肺炎疫情防控工作领导小组指挥部关于做好2021年元旦春节期间新冠肺炎疫情防控工作的通知》（桂新冠防指发〔2020〕208号）、《关于进一步加强柳州市物业企业2021年春节期间疫情防控工作的通知》等文件要求</w:t>
            </w:r>
            <w:r>
              <w:rPr>
                <w:rFonts w:hint="eastAsia"/>
                <w:b/>
                <w:sz w:val="24"/>
                <w:lang w:val="en-US" w:eastAsia="zh-CN"/>
              </w:rPr>
              <w:t>；</w:t>
            </w:r>
          </w:p>
          <w:p>
            <w:pPr>
              <w:spacing w:line="360" w:lineRule="auto"/>
              <w:ind w:firstLine="602" w:firstLineChars="250"/>
              <w:rPr>
                <w:rFonts w:hint="eastAsia"/>
                <w:b/>
                <w:sz w:val="24"/>
              </w:rPr>
            </w:pPr>
            <w:r>
              <w:rPr>
                <w:rFonts w:hint="eastAsia"/>
                <w:b/>
                <w:sz w:val="24"/>
                <w:lang w:val="en-US" w:eastAsia="zh-CN"/>
              </w:rPr>
              <w:t>2.</w:t>
            </w:r>
            <w:r>
              <w:rPr>
                <w:rFonts w:hint="eastAsia"/>
                <w:b/>
                <w:sz w:val="24"/>
              </w:rPr>
              <w:t>不前往官方发布的疫情中高风险地区；</w:t>
            </w:r>
          </w:p>
          <w:p>
            <w:pPr>
              <w:spacing w:line="276" w:lineRule="auto"/>
              <w:ind w:firstLine="602" w:firstLineChars="250"/>
              <w:rPr>
                <w:rFonts w:hint="eastAsia"/>
                <w:b/>
                <w:sz w:val="24"/>
              </w:rPr>
            </w:pPr>
            <w:r>
              <w:rPr>
                <w:rFonts w:hint="eastAsia"/>
                <w:b/>
                <w:sz w:val="24"/>
                <w:lang w:val="en-US" w:eastAsia="zh-CN"/>
              </w:rPr>
              <w:t>3.</w:t>
            </w:r>
            <w:r>
              <w:rPr>
                <w:rFonts w:hint="eastAsia"/>
                <w:b/>
                <w:sz w:val="24"/>
              </w:rPr>
              <w:t>本人及</w:t>
            </w:r>
            <w:r>
              <w:rPr>
                <w:rFonts w:hint="eastAsia"/>
                <w:b/>
                <w:sz w:val="24"/>
                <w:lang w:eastAsia="zh-CN"/>
              </w:rPr>
              <w:t>同行</w:t>
            </w:r>
            <w:r>
              <w:rPr>
                <w:rFonts w:hint="eastAsia"/>
                <w:b/>
                <w:sz w:val="24"/>
              </w:rPr>
              <w:t>亲属从中高风险地区返回柳州的，</w:t>
            </w:r>
            <w:r>
              <w:rPr>
                <w:rFonts w:hint="eastAsia"/>
                <w:b/>
                <w:sz w:val="24"/>
                <w:lang w:eastAsia="zh-CN"/>
              </w:rPr>
              <w:t>自愿</w:t>
            </w:r>
            <w:r>
              <w:rPr>
                <w:rFonts w:hint="eastAsia"/>
                <w:b/>
                <w:sz w:val="24"/>
              </w:rPr>
              <w:t>配合</w:t>
            </w:r>
            <w:r>
              <w:rPr>
                <w:rFonts w:hint="eastAsia"/>
                <w:b/>
                <w:sz w:val="24"/>
                <w:lang w:eastAsia="zh-CN"/>
              </w:rPr>
              <w:t>社区和</w:t>
            </w:r>
            <w:r>
              <w:rPr>
                <w:rFonts w:hint="eastAsia"/>
                <w:b/>
                <w:sz w:val="24"/>
              </w:rPr>
              <w:t>疫情防控部门实施核酸检验和居家隔离等措施。</w:t>
            </w:r>
          </w:p>
          <w:p>
            <w:pPr>
              <w:spacing w:line="276" w:lineRule="auto"/>
              <w:ind w:firstLine="602" w:firstLineChars="250"/>
              <w:rPr>
                <w:rFonts w:hint="eastAsia" w:eastAsia="宋体"/>
                <w:b/>
                <w:sz w:val="24"/>
                <w:lang w:val="en-US" w:eastAsia="zh-CN"/>
              </w:rPr>
            </w:pPr>
            <w:r>
              <w:rPr>
                <w:rFonts w:hint="eastAsia"/>
                <w:b/>
                <w:sz w:val="24"/>
                <w:lang w:val="en-US" w:eastAsia="zh-CN"/>
              </w:rPr>
              <w:t>3.</w:t>
            </w:r>
            <w:r>
              <w:rPr>
                <w:rFonts w:hint="eastAsia"/>
                <w:b/>
                <w:sz w:val="24"/>
              </w:rPr>
              <w:t>.如本人及</w:t>
            </w:r>
            <w:r>
              <w:rPr>
                <w:rFonts w:hint="eastAsia"/>
                <w:b/>
                <w:sz w:val="24"/>
                <w:lang w:eastAsia="zh-CN"/>
              </w:rPr>
              <w:t>同行</w:t>
            </w:r>
            <w:r>
              <w:rPr>
                <w:rFonts w:hint="eastAsia"/>
                <w:b/>
                <w:sz w:val="24"/>
              </w:rPr>
              <w:t>亲属从</w:t>
            </w:r>
            <w:r>
              <w:rPr>
                <w:rFonts w:hint="eastAsia"/>
                <w:b/>
                <w:sz w:val="24"/>
                <w:lang w:eastAsia="zh-CN"/>
              </w:rPr>
              <w:t>区外非中高风险地区返回柳州的，愿意自行进行一次核酸检测。</w:t>
            </w:r>
          </w:p>
          <w:p>
            <w:pPr>
              <w:spacing w:line="72" w:lineRule="auto"/>
              <w:ind w:firstLine="602" w:firstLineChars="250"/>
              <w:rPr>
                <w:rFonts w:ascii="宋体" w:hAnsi="宋体" w:cs="宋体"/>
                <w:b/>
                <w:sz w:val="24"/>
              </w:rPr>
            </w:pPr>
          </w:p>
          <w:p>
            <w:pPr>
              <w:ind w:firstLine="6023" w:firstLineChars="2500"/>
              <w:rPr>
                <w:rFonts w:ascii="宋体" w:hAnsi="宋体" w:cs="宋体"/>
                <w:b/>
                <w:sz w:val="24"/>
              </w:rPr>
            </w:pPr>
            <w:r>
              <w:rPr>
                <w:rFonts w:hint="eastAsia" w:ascii="宋体" w:hAnsi="宋体" w:cs="宋体"/>
                <w:b/>
                <w:sz w:val="24"/>
              </w:rPr>
              <w:t>承诺人：</w:t>
            </w:r>
            <w:r>
              <w:rPr>
                <w:rFonts w:ascii="宋体" w:hAnsi="宋体" w:cs="宋体"/>
                <w:b/>
                <w:sz w:val="24"/>
              </w:rPr>
              <w:t xml:space="preserve"> </w:t>
            </w:r>
          </w:p>
          <w:p>
            <w:pPr>
              <w:ind w:left="2646" w:leftChars="285" w:hanging="2048" w:hangingChars="850"/>
              <w:rPr>
                <w:rFonts w:ascii="宋体" w:hAnsi="宋体" w:cs="宋体"/>
                <w:b/>
                <w:sz w:val="24"/>
              </w:rPr>
            </w:pPr>
          </w:p>
          <w:p>
            <w:pPr>
              <w:tabs>
                <w:tab w:val="left" w:pos="272"/>
              </w:tabs>
              <w:ind w:firstLine="5903" w:firstLineChars="2450"/>
              <w:jc w:val="left"/>
              <w:rPr>
                <w:rFonts w:hint="eastAsia" w:ascii="宋体" w:hAnsi="宋体" w:cs="宋体"/>
                <w:b/>
                <w:sz w:val="24"/>
              </w:rPr>
            </w:pPr>
            <w:r>
              <w:rPr>
                <w:rFonts w:hint="eastAsia" w:ascii="宋体" w:hAnsi="宋体" w:cs="宋体"/>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959" w:type="dxa"/>
            <w:vAlign w:val="center"/>
          </w:tcPr>
          <w:p>
            <w:pPr>
              <w:spacing w:line="360" w:lineRule="auto"/>
              <w:rPr>
                <w:rFonts w:hint="eastAsia"/>
                <w:b/>
                <w:sz w:val="24"/>
              </w:rPr>
            </w:pPr>
            <w:r>
              <w:rPr>
                <w:rFonts w:hint="eastAsia"/>
                <w:b/>
                <w:sz w:val="24"/>
              </w:rPr>
              <w:t>备注</w:t>
            </w:r>
          </w:p>
        </w:tc>
        <w:tc>
          <w:tcPr>
            <w:tcW w:w="8908" w:type="dxa"/>
            <w:gridSpan w:val="5"/>
            <w:vAlign w:val="center"/>
          </w:tcPr>
          <w:p>
            <w:pPr>
              <w:spacing w:line="360" w:lineRule="auto"/>
              <w:ind w:firstLine="472" w:firstLineChars="196"/>
              <w:rPr>
                <w:rFonts w:hint="eastAsia"/>
                <w:b/>
                <w:sz w:val="24"/>
              </w:rPr>
            </w:pPr>
          </w:p>
        </w:tc>
      </w:tr>
    </w:tbl>
    <w:p>
      <w:pPr>
        <w:rPr>
          <w:sz w:val="30"/>
          <w:szCs w:val="30"/>
        </w:rPr>
      </w:pPr>
      <w:r>
        <w:rPr>
          <w:rFonts w:hint="eastAsia"/>
          <w:b/>
          <w:sz w:val="24"/>
        </w:rPr>
        <w:t>企业名称：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206"/>
    <w:rsid w:val="00002AA3"/>
    <w:rsid w:val="00013C5A"/>
    <w:rsid w:val="00030796"/>
    <w:rsid w:val="000324BE"/>
    <w:rsid w:val="000332BB"/>
    <w:rsid w:val="00037186"/>
    <w:rsid w:val="00056F3F"/>
    <w:rsid w:val="00065E47"/>
    <w:rsid w:val="00093CEA"/>
    <w:rsid w:val="00095E6D"/>
    <w:rsid w:val="000A1B24"/>
    <w:rsid w:val="000A3135"/>
    <w:rsid w:val="000C3BC1"/>
    <w:rsid w:val="000C5FE0"/>
    <w:rsid w:val="000C765C"/>
    <w:rsid w:val="000D722F"/>
    <w:rsid w:val="000F2882"/>
    <w:rsid w:val="0011016C"/>
    <w:rsid w:val="00112919"/>
    <w:rsid w:val="001134E3"/>
    <w:rsid w:val="00127C05"/>
    <w:rsid w:val="0014766D"/>
    <w:rsid w:val="00161C2C"/>
    <w:rsid w:val="00164AD0"/>
    <w:rsid w:val="00180D50"/>
    <w:rsid w:val="0019293E"/>
    <w:rsid w:val="001A7F9D"/>
    <w:rsid w:val="001B7555"/>
    <w:rsid w:val="001C5379"/>
    <w:rsid w:val="001D2209"/>
    <w:rsid w:val="001D64FA"/>
    <w:rsid w:val="001D72B7"/>
    <w:rsid w:val="001E3E0A"/>
    <w:rsid w:val="001E44E6"/>
    <w:rsid w:val="001F23C2"/>
    <w:rsid w:val="001F73B6"/>
    <w:rsid w:val="00206928"/>
    <w:rsid w:val="002521BA"/>
    <w:rsid w:val="002540B1"/>
    <w:rsid w:val="00257A8A"/>
    <w:rsid w:val="00267815"/>
    <w:rsid w:val="002719E2"/>
    <w:rsid w:val="00277186"/>
    <w:rsid w:val="00285518"/>
    <w:rsid w:val="00293BA6"/>
    <w:rsid w:val="002B6BDB"/>
    <w:rsid w:val="002C3DDF"/>
    <w:rsid w:val="002C6872"/>
    <w:rsid w:val="002D1839"/>
    <w:rsid w:val="003031B0"/>
    <w:rsid w:val="00306D0A"/>
    <w:rsid w:val="00325758"/>
    <w:rsid w:val="00361BC4"/>
    <w:rsid w:val="00365318"/>
    <w:rsid w:val="00375D87"/>
    <w:rsid w:val="00390EF4"/>
    <w:rsid w:val="00393531"/>
    <w:rsid w:val="003A3801"/>
    <w:rsid w:val="003A57E1"/>
    <w:rsid w:val="003B05B6"/>
    <w:rsid w:val="003B7A1C"/>
    <w:rsid w:val="003C06C6"/>
    <w:rsid w:val="003C2B00"/>
    <w:rsid w:val="003C33B2"/>
    <w:rsid w:val="00403E1E"/>
    <w:rsid w:val="00412D43"/>
    <w:rsid w:val="0042200B"/>
    <w:rsid w:val="0044100A"/>
    <w:rsid w:val="00455132"/>
    <w:rsid w:val="0046052A"/>
    <w:rsid w:val="00461084"/>
    <w:rsid w:val="00483B98"/>
    <w:rsid w:val="004B262D"/>
    <w:rsid w:val="004C08CA"/>
    <w:rsid w:val="004D006C"/>
    <w:rsid w:val="004D6F19"/>
    <w:rsid w:val="004E29F9"/>
    <w:rsid w:val="004E5FAE"/>
    <w:rsid w:val="004E6817"/>
    <w:rsid w:val="004F4256"/>
    <w:rsid w:val="004F52D4"/>
    <w:rsid w:val="004F6DB7"/>
    <w:rsid w:val="00500754"/>
    <w:rsid w:val="0052051B"/>
    <w:rsid w:val="0053428C"/>
    <w:rsid w:val="005617D5"/>
    <w:rsid w:val="00563206"/>
    <w:rsid w:val="0056346E"/>
    <w:rsid w:val="00564F71"/>
    <w:rsid w:val="00566B26"/>
    <w:rsid w:val="005744AE"/>
    <w:rsid w:val="00586199"/>
    <w:rsid w:val="00591C03"/>
    <w:rsid w:val="005A3550"/>
    <w:rsid w:val="005A4665"/>
    <w:rsid w:val="005A6C1F"/>
    <w:rsid w:val="005E245A"/>
    <w:rsid w:val="00603030"/>
    <w:rsid w:val="00632A8B"/>
    <w:rsid w:val="006378EF"/>
    <w:rsid w:val="00687CCE"/>
    <w:rsid w:val="0069585F"/>
    <w:rsid w:val="006C28AF"/>
    <w:rsid w:val="006C73C2"/>
    <w:rsid w:val="006E11DB"/>
    <w:rsid w:val="006E3D5F"/>
    <w:rsid w:val="006F529E"/>
    <w:rsid w:val="006F6964"/>
    <w:rsid w:val="0070080D"/>
    <w:rsid w:val="0071453A"/>
    <w:rsid w:val="00715CCB"/>
    <w:rsid w:val="00737548"/>
    <w:rsid w:val="00745D5D"/>
    <w:rsid w:val="00763F43"/>
    <w:rsid w:val="007714D8"/>
    <w:rsid w:val="00774FCF"/>
    <w:rsid w:val="007760C9"/>
    <w:rsid w:val="00781B2C"/>
    <w:rsid w:val="0078447E"/>
    <w:rsid w:val="007A4857"/>
    <w:rsid w:val="007B2D8E"/>
    <w:rsid w:val="007B39D2"/>
    <w:rsid w:val="007C617B"/>
    <w:rsid w:val="007D6292"/>
    <w:rsid w:val="007E0BA2"/>
    <w:rsid w:val="007E4A30"/>
    <w:rsid w:val="007E71A6"/>
    <w:rsid w:val="007F111A"/>
    <w:rsid w:val="007F6BE0"/>
    <w:rsid w:val="00802D45"/>
    <w:rsid w:val="00816222"/>
    <w:rsid w:val="008219C9"/>
    <w:rsid w:val="00857503"/>
    <w:rsid w:val="008625BA"/>
    <w:rsid w:val="008637E4"/>
    <w:rsid w:val="00874465"/>
    <w:rsid w:val="00882B70"/>
    <w:rsid w:val="0089485C"/>
    <w:rsid w:val="008A26F4"/>
    <w:rsid w:val="008C475D"/>
    <w:rsid w:val="008D7B54"/>
    <w:rsid w:val="008E46B1"/>
    <w:rsid w:val="008E7A21"/>
    <w:rsid w:val="008F1C44"/>
    <w:rsid w:val="008F3A2F"/>
    <w:rsid w:val="00914D26"/>
    <w:rsid w:val="00931C1C"/>
    <w:rsid w:val="00943B2E"/>
    <w:rsid w:val="009452E5"/>
    <w:rsid w:val="0095445B"/>
    <w:rsid w:val="00964077"/>
    <w:rsid w:val="009708F9"/>
    <w:rsid w:val="00974CE1"/>
    <w:rsid w:val="00990AC1"/>
    <w:rsid w:val="00992101"/>
    <w:rsid w:val="009A0933"/>
    <w:rsid w:val="009B0FA0"/>
    <w:rsid w:val="009C734C"/>
    <w:rsid w:val="009D27D8"/>
    <w:rsid w:val="009D41AA"/>
    <w:rsid w:val="009F2C9E"/>
    <w:rsid w:val="00A016F7"/>
    <w:rsid w:val="00A01C10"/>
    <w:rsid w:val="00A0416C"/>
    <w:rsid w:val="00A053E3"/>
    <w:rsid w:val="00A10984"/>
    <w:rsid w:val="00A2139C"/>
    <w:rsid w:val="00A21626"/>
    <w:rsid w:val="00A26A23"/>
    <w:rsid w:val="00A26FA1"/>
    <w:rsid w:val="00A36BEE"/>
    <w:rsid w:val="00A46FF5"/>
    <w:rsid w:val="00A5184A"/>
    <w:rsid w:val="00A674E9"/>
    <w:rsid w:val="00A70BC4"/>
    <w:rsid w:val="00A86845"/>
    <w:rsid w:val="00AB5255"/>
    <w:rsid w:val="00AC6F36"/>
    <w:rsid w:val="00AD338B"/>
    <w:rsid w:val="00B041A4"/>
    <w:rsid w:val="00B2077F"/>
    <w:rsid w:val="00B32BA5"/>
    <w:rsid w:val="00B4597F"/>
    <w:rsid w:val="00B70CC5"/>
    <w:rsid w:val="00B91207"/>
    <w:rsid w:val="00BA55CB"/>
    <w:rsid w:val="00BB2D22"/>
    <w:rsid w:val="00BD1654"/>
    <w:rsid w:val="00BE5433"/>
    <w:rsid w:val="00BE5741"/>
    <w:rsid w:val="00BF469E"/>
    <w:rsid w:val="00BF7012"/>
    <w:rsid w:val="00C35C7D"/>
    <w:rsid w:val="00C415C4"/>
    <w:rsid w:val="00C626D3"/>
    <w:rsid w:val="00C64CD1"/>
    <w:rsid w:val="00C70DCE"/>
    <w:rsid w:val="00C82905"/>
    <w:rsid w:val="00C85A8E"/>
    <w:rsid w:val="00CA74A6"/>
    <w:rsid w:val="00CB0F7C"/>
    <w:rsid w:val="00CB2B58"/>
    <w:rsid w:val="00CD1045"/>
    <w:rsid w:val="00D0584C"/>
    <w:rsid w:val="00D0719B"/>
    <w:rsid w:val="00D26C03"/>
    <w:rsid w:val="00D531B9"/>
    <w:rsid w:val="00D64699"/>
    <w:rsid w:val="00D70B45"/>
    <w:rsid w:val="00D847A7"/>
    <w:rsid w:val="00D87BC0"/>
    <w:rsid w:val="00D904F4"/>
    <w:rsid w:val="00D94BEF"/>
    <w:rsid w:val="00DA56F5"/>
    <w:rsid w:val="00DD386F"/>
    <w:rsid w:val="00E00764"/>
    <w:rsid w:val="00E11A54"/>
    <w:rsid w:val="00E15628"/>
    <w:rsid w:val="00E246F5"/>
    <w:rsid w:val="00E2566D"/>
    <w:rsid w:val="00E33F5E"/>
    <w:rsid w:val="00E47223"/>
    <w:rsid w:val="00E55F99"/>
    <w:rsid w:val="00E77C6A"/>
    <w:rsid w:val="00E812B9"/>
    <w:rsid w:val="00E82405"/>
    <w:rsid w:val="00E86742"/>
    <w:rsid w:val="00E92ECF"/>
    <w:rsid w:val="00EA2AE8"/>
    <w:rsid w:val="00EC245E"/>
    <w:rsid w:val="00EC67B0"/>
    <w:rsid w:val="00EC74BD"/>
    <w:rsid w:val="00ED0812"/>
    <w:rsid w:val="00ED4E56"/>
    <w:rsid w:val="00F20D8C"/>
    <w:rsid w:val="00F23F79"/>
    <w:rsid w:val="00F4525E"/>
    <w:rsid w:val="00F644D9"/>
    <w:rsid w:val="00F86563"/>
    <w:rsid w:val="00F97432"/>
    <w:rsid w:val="00FB31D6"/>
    <w:rsid w:val="00FB5915"/>
    <w:rsid w:val="00FD44E6"/>
    <w:rsid w:val="00FE28A8"/>
    <w:rsid w:val="00FF3383"/>
    <w:rsid w:val="00FF3D30"/>
    <w:rsid w:val="035F4AB1"/>
    <w:rsid w:val="06091B35"/>
    <w:rsid w:val="0C136395"/>
    <w:rsid w:val="1ADC30A1"/>
    <w:rsid w:val="1BEA13D0"/>
    <w:rsid w:val="1D55189D"/>
    <w:rsid w:val="22ED443C"/>
    <w:rsid w:val="28FA7957"/>
    <w:rsid w:val="2963081B"/>
    <w:rsid w:val="2D101357"/>
    <w:rsid w:val="307C575A"/>
    <w:rsid w:val="35AD62C7"/>
    <w:rsid w:val="46FD61F9"/>
    <w:rsid w:val="555B6626"/>
    <w:rsid w:val="630521E1"/>
    <w:rsid w:val="6CC1336D"/>
    <w:rsid w:val="716159A2"/>
    <w:rsid w:val="7351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40</Words>
  <Characters>231</Characters>
  <Lines>1</Lines>
  <Paragraphs>1</Paragraphs>
  <TotalTime>21</TotalTime>
  <ScaleCrop>false</ScaleCrop>
  <LinksUpToDate>false</LinksUpToDate>
  <CharactersWithSpaces>270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2020-07-01T08:10:00Z</dcterms:created>
  <dc:creator>lenovo</dc:creator>
  <cp:lastModifiedBy>朱玥馨</cp:lastModifiedBy>
  <cp:lastPrinted>2021-01-15T00:54:34Z</cp:lastPrinted>
  <dcterms:modified xsi:type="dcterms:W3CDTF">2021-01-15T00:56:07Z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