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adjustRightInd w:val="0"/>
        <w:snapToGrid w:val="0"/>
        <w:jc w:val="center"/>
        <w:rPr>
          <w:rFonts w:hint="eastAsia" w:ascii="方正小标宋简体" w:hAnsi="宋体" w:eastAsia="方正小标宋简体"/>
          <w:color w:val="auto"/>
          <w:kern w:val="0"/>
          <w:sz w:val="44"/>
          <w:szCs w:val="44"/>
        </w:rPr>
      </w:pPr>
      <w:r>
        <w:rPr>
          <w:rFonts w:hint="eastAsia" w:ascii="方正小标宋简体" w:hAnsi="宋体" w:eastAsia="方正小标宋简体"/>
          <w:color w:val="auto"/>
          <w:kern w:val="0"/>
          <w:sz w:val="44"/>
          <w:szCs w:val="44"/>
        </w:rPr>
        <w:t>柳州市房屋建筑和市政工程建设项目招标</w:t>
      </w:r>
    </w:p>
    <w:p>
      <w:pPr>
        <w:widowControl/>
        <w:shd w:val="clear" w:color="auto" w:fill="FFFFFF"/>
        <w:adjustRightInd w:val="0"/>
        <w:snapToGrid w:val="0"/>
        <w:jc w:val="center"/>
        <w:rPr>
          <w:rFonts w:ascii="方正小标宋简体" w:hAnsi="宋体" w:eastAsia="方正小标宋简体"/>
          <w:color w:val="auto"/>
          <w:kern w:val="0"/>
          <w:sz w:val="44"/>
          <w:szCs w:val="44"/>
        </w:rPr>
      </w:pPr>
      <w:r>
        <w:rPr>
          <w:rFonts w:hint="eastAsia" w:ascii="方正小标宋简体" w:hAnsi="宋体" w:eastAsia="方正小标宋简体"/>
          <w:color w:val="auto"/>
          <w:kern w:val="0"/>
          <w:sz w:val="44"/>
          <w:szCs w:val="44"/>
        </w:rPr>
        <w:t>代理机构信用综合评价管理办法</w:t>
      </w:r>
    </w:p>
    <w:p>
      <w:pPr>
        <w:spacing w:line="360" w:lineRule="auto"/>
        <w:rPr>
          <w:rFonts w:ascii="宋体" w:eastAsia="宋体" w:cs="宋体"/>
          <w:sz w:val="32"/>
          <w:szCs w:val="32"/>
        </w:rPr>
      </w:pPr>
    </w:p>
    <w:p>
      <w:pPr>
        <w:snapToGrid w:val="0"/>
        <w:spacing w:beforeLines="100" w:line="500" w:lineRule="exact"/>
        <w:jc w:val="center"/>
        <w:rPr>
          <w:rFonts w:ascii="Times New Roman" w:hAnsi="Times New Roman" w:eastAsia="仿宋_GB2312" w:cs="Times New Roman"/>
          <w:b/>
          <w:sz w:val="32"/>
          <w:szCs w:val="32"/>
        </w:rPr>
      </w:pPr>
      <w:r>
        <w:rPr>
          <w:rFonts w:hint="eastAsia" w:ascii="Times New Roman" w:hAnsi="Times New Roman" w:eastAsia="仿宋_GB2312" w:cs="Times New Roman"/>
          <w:b/>
          <w:sz w:val="32"/>
          <w:szCs w:val="32"/>
        </w:rPr>
        <w:t>第一章  总  则</w:t>
      </w:r>
    </w:p>
    <w:p>
      <w:pPr>
        <w:snapToGrid w:val="0"/>
        <w:spacing w:line="560" w:lineRule="exact"/>
        <w:ind w:firstLine="640" w:firstLineChars="200"/>
        <w:jc w:val="left"/>
        <w:rPr>
          <w:rFonts w:ascii="Times New Roman" w:hAnsi="Times New Roman" w:eastAsia="仿宋_GB2312" w:cs="Times New Roman"/>
          <w:color w:val="000000" w:themeColor="text1"/>
          <w:sz w:val="32"/>
          <w:szCs w:val="32"/>
        </w:rPr>
      </w:pPr>
      <w:r>
        <w:rPr>
          <w:rFonts w:hint="eastAsia" w:ascii="Times New Roman" w:hAnsi="Times New Roman" w:eastAsia="仿宋_GB2312" w:cs="Times New Roman"/>
          <w:color w:val="000000" w:themeColor="text1"/>
          <w:sz w:val="32"/>
          <w:szCs w:val="32"/>
        </w:rPr>
        <w:t>第一条 为落实《国务院办公厅关于加快推进社会信用体系建设构建以信用为基础的新型监管机制的指导意见》（国办发〔2019〕35号），进一步规范柳州市房屋建筑和市政基础设施工程建设项目招标代理机构行为，维护招标投标市场秩序，引导招标代理机构健康发展，依据《中华人民共和国招标投标法》、《中华人民共和国招标投标法设施条例》等法律法规，结合我市实际，制定本办法。</w:t>
      </w:r>
    </w:p>
    <w:p>
      <w:pPr>
        <w:snapToGrid w:val="0"/>
        <w:spacing w:line="560" w:lineRule="exact"/>
        <w:ind w:firstLine="640" w:firstLineChars="200"/>
        <w:jc w:val="left"/>
        <w:rPr>
          <w:rFonts w:ascii="Times New Roman" w:hAnsi="Times New Roman" w:eastAsia="仿宋_GB2312" w:cs="Times New Roman"/>
          <w:color w:val="000000" w:themeColor="text1"/>
          <w:sz w:val="32"/>
          <w:szCs w:val="32"/>
        </w:rPr>
      </w:pPr>
      <w:r>
        <w:rPr>
          <w:rFonts w:hint="eastAsia" w:ascii="Times New Roman" w:hAnsi="Times New Roman" w:eastAsia="仿宋_GB2312" w:cs="Times New Roman"/>
          <w:color w:val="000000" w:themeColor="text1"/>
          <w:sz w:val="32"/>
          <w:szCs w:val="32"/>
        </w:rPr>
        <w:t>第二条 本办法所称招标代理机构诚信综合评价，是指由市住房城乡建设局牵头，市政管办、县（区）住房城乡建设主管部门（招投标监管部门）、市公共资源交易中心（含鹿寨交易中心）、招投标协会及各招标单位配合，依据法律、法规、规章、规范性文件等，对在柳州市承接房屋建筑和市政基础设施工程类施工、服务及与以上工程建设有关的重要设备、材料采购代理业务的招标代理机构的基本情况、业绩情况、履职行为进行量化评价后，给予招标代理机构诚信行为综合评分。各县（含柳江区）住房城乡建设主管部门对在辖区内承接业务的代理机构参照本办法进行评价，评价结果报市住房城乡建设局。</w:t>
      </w:r>
    </w:p>
    <w:p>
      <w:pPr>
        <w:snapToGrid w:val="0"/>
        <w:spacing w:line="560" w:lineRule="exact"/>
        <w:ind w:firstLine="640" w:firstLineChars="200"/>
        <w:jc w:val="left"/>
        <w:rPr>
          <w:rFonts w:ascii="Times New Roman" w:hAnsi="Times New Roman" w:eastAsia="仿宋_GB2312" w:cs="Times New Roman"/>
          <w:color w:val="000000" w:themeColor="text1"/>
          <w:sz w:val="32"/>
          <w:szCs w:val="32"/>
        </w:rPr>
      </w:pPr>
      <w:r>
        <w:rPr>
          <w:rFonts w:hint="eastAsia" w:ascii="Times New Roman" w:hAnsi="Times New Roman" w:eastAsia="仿宋_GB2312" w:cs="Times New Roman"/>
          <w:color w:val="000000" w:themeColor="text1"/>
          <w:sz w:val="32"/>
          <w:szCs w:val="32"/>
        </w:rPr>
        <w:t>第三条 本办法所称招标代理机构，是指在柳州市行政区域内从事房屋建筑和市政基础设施工程类施工、服务及与以上工程建设有关的重要设备、材料采购活动的招标代理机构。</w:t>
      </w:r>
    </w:p>
    <w:p>
      <w:pPr>
        <w:snapToGrid w:val="0"/>
        <w:spacing w:line="560" w:lineRule="exact"/>
        <w:ind w:firstLine="640" w:firstLineChars="200"/>
        <w:jc w:val="left"/>
        <w:rPr>
          <w:rFonts w:ascii="Times New Roman" w:hAnsi="Times New Roman" w:eastAsia="仿宋_GB2312" w:cs="Times New Roman"/>
          <w:color w:val="000000" w:themeColor="text1"/>
          <w:sz w:val="32"/>
          <w:szCs w:val="32"/>
        </w:rPr>
      </w:pPr>
      <w:r>
        <w:rPr>
          <w:rFonts w:hint="eastAsia" w:ascii="Times New Roman" w:hAnsi="Times New Roman" w:eastAsia="仿宋_GB2312" w:cs="Times New Roman"/>
          <w:color w:val="000000" w:themeColor="text1"/>
          <w:sz w:val="32"/>
          <w:szCs w:val="32"/>
        </w:rPr>
        <w:t>第四条 招标代理机构诚信综合评价作为柳州市、县（区）住房城乡建设主管部门对招标代理机构进行动态核查、差别化管理的依据，以及作为招标人选择代理机构的重要参考。</w:t>
      </w:r>
    </w:p>
    <w:p>
      <w:pPr>
        <w:snapToGrid w:val="0"/>
        <w:spacing w:line="560" w:lineRule="exact"/>
        <w:ind w:firstLine="0" w:firstLineChars="0"/>
        <w:jc w:val="left"/>
        <w:rPr>
          <w:rFonts w:ascii="Times New Roman" w:hAnsi="Times New Roman" w:eastAsia="仿宋_GB2312" w:cs="Times New Roman"/>
          <w:color w:val="000000" w:themeColor="text1"/>
          <w:sz w:val="32"/>
          <w:szCs w:val="32"/>
        </w:rPr>
      </w:pPr>
    </w:p>
    <w:p>
      <w:pPr>
        <w:snapToGrid w:val="0"/>
        <w:spacing w:beforeLines="100" w:line="500" w:lineRule="exact"/>
        <w:jc w:val="center"/>
        <w:rPr>
          <w:rFonts w:ascii="Times New Roman" w:hAnsi="Times New Roman" w:eastAsia="仿宋_GB2312" w:cs="Times New Roman"/>
          <w:b/>
          <w:sz w:val="32"/>
          <w:szCs w:val="32"/>
        </w:rPr>
      </w:pPr>
      <w:r>
        <w:rPr>
          <w:rFonts w:hint="eastAsia" w:ascii="Times New Roman" w:hAnsi="Times New Roman" w:eastAsia="仿宋_GB2312" w:cs="Times New Roman"/>
          <w:b/>
          <w:sz w:val="32"/>
          <w:szCs w:val="32"/>
        </w:rPr>
        <w:t>第二章  评价内容</w:t>
      </w:r>
    </w:p>
    <w:p>
      <w:pPr>
        <w:snapToGrid w:val="0"/>
        <w:spacing w:line="560" w:lineRule="exact"/>
        <w:ind w:firstLine="640" w:firstLineChars="200"/>
        <w:jc w:val="left"/>
        <w:rPr>
          <w:rFonts w:ascii="Times New Roman" w:hAnsi="Times New Roman" w:eastAsia="仿宋_GB2312" w:cs="Times New Roman"/>
          <w:color w:val="000000" w:themeColor="text1"/>
          <w:sz w:val="32"/>
          <w:szCs w:val="32"/>
        </w:rPr>
      </w:pPr>
      <w:r>
        <w:rPr>
          <w:rFonts w:hint="eastAsia" w:ascii="Times New Roman" w:hAnsi="Times New Roman" w:eastAsia="仿宋_GB2312" w:cs="Times New Roman"/>
          <w:color w:val="000000" w:themeColor="text1"/>
          <w:sz w:val="32"/>
          <w:szCs w:val="32"/>
        </w:rPr>
        <w:t>第五条 招标代理机构信用评价包括基本情况、业绩情况和履职行为共三部分评价内容。</w:t>
      </w:r>
    </w:p>
    <w:p>
      <w:pPr>
        <w:snapToGrid w:val="0"/>
        <w:spacing w:line="560" w:lineRule="exact"/>
        <w:ind w:firstLine="640" w:firstLineChars="200"/>
        <w:jc w:val="left"/>
        <w:rPr>
          <w:rFonts w:ascii="Times New Roman" w:hAnsi="Times New Roman" w:eastAsia="仿宋_GB2312" w:cs="Times New Roman"/>
          <w:color w:val="000000" w:themeColor="text1"/>
          <w:sz w:val="32"/>
          <w:szCs w:val="32"/>
        </w:rPr>
      </w:pPr>
      <w:r>
        <w:rPr>
          <w:rFonts w:hint="eastAsia" w:ascii="Times New Roman" w:hAnsi="Times New Roman" w:eastAsia="仿宋_GB2312" w:cs="Times New Roman"/>
          <w:color w:val="000000" w:themeColor="text1"/>
          <w:sz w:val="32"/>
          <w:szCs w:val="32"/>
        </w:rPr>
        <w:t>（一）基本情况：包括代理机构专职人员情况、企业纳税情况、内部管理情况，总分12 分。基本情况评价内容和计分办法详见附件1。</w:t>
      </w:r>
    </w:p>
    <w:p>
      <w:pPr>
        <w:snapToGrid w:val="0"/>
        <w:spacing w:line="560" w:lineRule="exact"/>
        <w:ind w:firstLine="640" w:firstLineChars="200"/>
        <w:jc w:val="left"/>
        <w:rPr>
          <w:rFonts w:ascii="Times New Roman" w:hAnsi="Times New Roman" w:eastAsia="仿宋_GB2312" w:cs="Times New Roman"/>
          <w:color w:val="000000" w:themeColor="text1"/>
          <w:sz w:val="32"/>
          <w:szCs w:val="32"/>
        </w:rPr>
      </w:pPr>
      <w:r>
        <w:rPr>
          <w:rFonts w:hint="eastAsia" w:ascii="Times New Roman" w:hAnsi="Times New Roman" w:eastAsia="仿宋_GB2312" w:cs="Times New Roman"/>
          <w:color w:val="000000" w:themeColor="text1"/>
          <w:sz w:val="32"/>
          <w:szCs w:val="32"/>
        </w:rPr>
        <w:t xml:space="preserve">（二）业绩情况：包括代理机构在柳州市（含县区）年度累计代理招标项目宗数、大型房屋建筑和市政基础设施工程施工项目代理招标宗数、总承包或全过程工程咨询项目代理招标宗数评级得分，总分 8 分。招标代理机构业绩以在柳州市各级公共资源交易中心场内进行的公开招标项目为准。 </w:t>
      </w:r>
    </w:p>
    <w:p>
      <w:pPr>
        <w:snapToGrid w:val="0"/>
        <w:spacing w:line="560" w:lineRule="exact"/>
        <w:ind w:firstLine="640" w:firstLineChars="200"/>
        <w:jc w:val="left"/>
        <w:rPr>
          <w:rFonts w:ascii="Times New Roman" w:hAnsi="Times New Roman" w:eastAsia="仿宋_GB2312" w:cs="Times New Roman"/>
          <w:color w:val="000000" w:themeColor="text1"/>
          <w:sz w:val="32"/>
          <w:szCs w:val="32"/>
        </w:rPr>
      </w:pPr>
      <w:r>
        <w:rPr>
          <w:rFonts w:hint="eastAsia" w:ascii="Times New Roman" w:hAnsi="Times New Roman" w:eastAsia="仿宋_GB2312" w:cs="Times New Roman"/>
          <w:color w:val="000000" w:themeColor="text1"/>
          <w:sz w:val="32"/>
          <w:szCs w:val="32"/>
        </w:rPr>
        <w:t xml:space="preserve">业绩情况评价具体内容和计分办法详见附件1。 </w:t>
      </w:r>
    </w:p>
    <w:p>
      <w:pPr>
        <w:snapToGrid w:val="0"/>
        <w:spacing w:line="560" w:lineRule="exact"/>
        <w:ind w:firstLine="640" w:firstLineChars="200"/>
        <w:jc w:val="left"/>
        <w:rPr>
          <w:rFonts w:ascii="Times New Roman" w:hAnsi="Times New Roman" w:eastAsia="仿宋_GB2312" w:cs="Times New Roman"/>
          <w:color w:val="000000" w:themeColor="text1"/>
          <w:sz w:val="32"/>
          <w:szCs w:val="32"/>
        </w:rPr>
      </w:pPr>
      <w:r>
        <w:rPr>
          <w:rFonts w:hint="eastAsia" w:ascii="Times New Roman" w:hAnsi="Times New Roman" w:eastAsia="仿宋_GB2312" w:cs="Times New Roman"/>
          <w:color w:val="000000" w:themeColor="text1"/>
          <w:sz w:val="32"/>
          <w:szCs w:val="32"/>
        </w:rPr>
        <w:t xml:space="preserve">（三）履职行为：包括代理机构历史良好行为评价、通报表彰、业务质量考评、参加主管部门招标相关活动评价、所有代理项目被招标单位评定为优秀的比率和不良行为评价，总分 80 分，其中初始分 60 分。根据机构行为记录进行量化计分，对历史良好行为评价、通报表彰、业务质量考评、参加主管部门招标相关活动评价、所有代理项目被招标单位评定为优秀的比率予以加分；对不良行为评价予以扣分，不良行为评价扣分不设上限，扣完为止。其中，不良行为的认定依据包括录音、录像、笔录、整改通知书、通报或者相关文件等。 </w:t>
      </w:r>
    </w:p>
    <w:p>
      <w:pPr>
        <w:snapToGrid w:val="0"/>
        <w:spacing w:line="560" w:lineRule="exact"/>
        <w:ind w:firstLine="640" w:firstLineChars="200"/>
        <w:jc w:val="left"/>
        <w:rPr>
          <w:rFonts w:ascii="Times New Roman" w:hAnsi="Times New Roman" w:eastAsia="仿宋_GB2312" w:cs="Times New Roman"/>
          <w:color w:val="000000" w:themeColor="text1"/>
          <w:sz w:val="32"/>
          <w:szCs w:val="32"/>
        </w:rPr>
      </w:pPr>
      <w:r>
        <w:rPr>
          <w:rFonts w:hint="eastAsia" w:ascii="Times New Roman" w:hAnsi="Times New Roman" w:eastAsia="仿宋_GB2312" w:cs="Times New Roman"/>
          <w:color w:val="000000" w:themeColor="text1"/>
          <w:sz w:val="32"/>
          <w:szCs w:val="32"/>
        </w:rPr>
        <w:t>履职行为得分=初始分+历史良好行为评价得分+通报表彰得分+业务质量考评得分+参加主管部门招标相关活动得分+所有代理项目被招标单位评定为优秀的比率得分-不良行为评价得分。</w:t>
      </w:r>
    </w:p>
    <w:p>
      <w:pPr>
        <w:snapToGrid w:val="0"/>
        <w:spacing w:line="560" w:lineRule="exact"/>
        <w:ind w:firstLine="640" w:firstLineChars="200"/>
        <w:jc w:val="left"/>
        <w:rPr>
          <w:rFonts w:ascii="Times New Roman" w:hAnsi="Times New Roman" w:eastAsia="仿宋_GB2312" w:cs="Times New Roman"/>
          <w:color w:val="000000" w:themeColor="text1"/>
          <w:sz w:val="32"/>
          <w:szCs w:val="32"/>
        </w:rPr>
      </w:pPr>
      <w:r>
        <w:rPr>
          <w:rFonts w:hint="eastAsia" w:ascii="Times New Roman" w:hAnsi="Times New Roman" w:eastAsia="仿宋_GB2312" w:cs="Times New Roman"/>
          <w:color w:val="000000" w:themeColor="text1"/>
          <w:sz w:val="32"/>
          <w:szCs w:val="32"/>
        </w:rPr>
        <w:t>履职行为评价具体内容和计分办法详见附件2。</w:t>
      </w:r>
    </w:p>
    <w:p>
      <w:pPr>
        <w:snapToGrid w:val="0"/>
        <w:spacing w:line="560" w:lineRule="exact"/>
        <w:ind w:firstLine="640" w:firstLineChars="200"/>
        <w:jc w:val="left"/>
        <w:rPr>
          <w:rFonts w:ascii="Times New Roman" w:hAnsi="Times New Roman" w:eastAsia="仿宋_GB2312" w:cs="Times New Roman"/>
          <w:color w:val="000000" w:themeColor="text1"/>
          <w:sz w:val="32"/>
          <w:szCs w:val="32"/>
        </w:rPr>
      </w:pPr>
      <w:r>
        <w:rPr>
          <w:rFonts w:hint="eastAsia" w:ascii="Times New Roman" w:hAnsi="Times New Roman" w:eastAsia="仿宋_GB2312" w:cs="Times New Roman"/>
          <w:color w:val="000000" w:themeColor="text1"/>
          <w:sz w:val="32"/>
          <w:szCs w:val="32"/>
        </w:rPr>
        <w:t>招标代理机构诚信综合评价得分=基本情况得分+业绩情况得分+履职行为得分。</w:t>
      </w:r>
    </w:p>
    <w:p>
      <w:pPr>
        <w:snapToGrid w:val="0"/>
        <w:spacing w:line="560" w:lineRule="exact"/>
        <w:ind w:firstLine="640" w:firstLineChars="200"/>
        <w:jc w:val="left"/>
        <w:rPr>
          <w:rFonts w:ascii="Times New Roman" w:hAnsi="Times New Roman" w:eastAsia="仿宋_GB2312" w:cs="Times New Roman"/>
          <w:color w:val="000000" w:themeColor="text1"/>
          <w:sz w:val="32"/>
          <w:szCs w:val="32"/>
        </w:rPr>
      </w:pPr>
      <w:r>
        <w:rPr>
          <w:rFonts w:hint="eastAsia" w:ascii="Times New Roman" w:hAnsi="Times New Roman" w:eastAsia="仿宋_GB2312" w:cs="Times New Roman"/>
          <w:color w:val="000000" w:themeColor="text1"/>
          <w:sz w:val="32"/>
          <w:szCs w:val="32"/>
        </w:rPr>
        <w:t>第六条 代理机构属于以下情形的，以上一考核年度公布的柳州市行政区域内招标代理机构诚信评价的平均分作为首次诚信评价评分：</w:t>
      </w:r>
    </w:p>
    <w:p>
      <w:pPr>
        <w:snapToGrid w:val="0"/>
        <w:spacing w:line="560" w:lineRule="exact"/>
        <w:ind w:firstLine="640" w:firstLineChars="200"/>
        <w:jc w:val="left"/>
        <w:rPr>
          <w:rFonts w:hint="default" w:ascii="Times New Roman" w:hAnsi="Times New Roman" w:eastAsia="仿宋_GB2312" w:cs="Times New Roman"/>
          <w:color w:val="000000" w:themeColor="text1"/>
          <w:sz w:val="32"/>
          <w:szCs w:val="32"/>
        </w:rPr>
      </w:pPr>
      <w:r>
        <w:rPr>
          <w:rFonts w:hint="default" w:ascii="Times New Roman" w:hAnsi="Times New Roman" w:eastAsia="仿宋_GB2312" w:cs="Times New Roman"/>
          <w:color w:val="000000" w:themeColor="text1"/>
          <w:sz w:val="32"/>
          <w:szCs w:val="32"/>
        </w:rPr>
        <w:t>⒈首次进入柳州市行政区域承揽业务的市外招标代理机构；</w:t>
      </w:r>
    </w:p>
    <w:p>
      <w:pPr>
        <w:snapToGrid w:val="0"/>
        <w:spacing w:line="560" w:lineRule="exact"/>
        <w:ind w:firstLine="640" w:firstLineChars="200"/>
        <w:jc w:val="left"/>
        <w:rPr>
          <w:rFonts w:hint="default" w:ascii="Times New Roman" w:hAnsi="Times New Roman" w:eastAsia="仿宋_GB2312" w:cs="Times New Roman"/>
          <w:color w:val="000000" w:themeColor="text1"/>
          <w:sz w:val="32"/>
          <w:szCs w:val="32"/>
        </w:rPr>
      </w:pPr>
      <w:r>
        <w:rPr>
          <w:rFonts w:hint="default" w:ascii="Times New Roman" w:hAnsi="Times New Roman" w:eastAsia="仿宋_GB2312" w:cs="Times New Roman"/>
          <w:color w:val="000000" w:themeColor="text1"/>
          <w:sz w:val="32"/>
          <w:szCs w:val="32"/>
        </w:rPr>
        <w:t xml:space="preserve">⒉在柳州市行政区域内无房屋建筑和市政基础设施工程建设项目招标经历的市外招标代理机构； </w:t>
      </w:r>
    </w:p>
    <w:p>
      <w:pPr>
        <w:snapToGrid w:val="0"/>
        <w:spacing w:line="560" w:lineRule="exact"/>
        <w:ind w:firstLine="640" w:firstLineChars="200"/>
        <w:jc w:val="left"/>
        <w:rPr>
          <w:rFonts w:hint="default" w:ascii="Times New Roman" w:hAnsi="Times New Roman" w:eastAsia="仿宋_GB2312" w:cs="Times New Roman"/>
          <w:color w:val="000000" w:themeColor="text1"/>
          <w:sz w:val="32"/>
          <w:szCs w:val="32"/>
        </w:rPr>
      </w:pPr>
      <w:r>
        <w:rPr>
          <w:rFonts w:hint="default" w:ascii="Times New Roman" w:hAnsi="Times New Roman" w:eastAsia="仿宋_GB2312" w:cs="Times New Roman"/>
          <w:color w:val="000000" w:themeColor="text1"/>
          <w:sz w:val="32"/>
          <w:szCs w:val="32"/>
        </w:rPr>
        <w:t>⒊新成立的市内房屋建筑和市政基础设施工程建设项目招标代理机构；</w:t>
      </w:r>
    </w:p>
    <w:p>
      <w:pPr>
        <w:snapToGrid w:val="0"/>
        <w:spacing w:line="560" w:lineRule="exact"/>
        <w:ind w:firstLine="640" w:firstLineChars="200"/>
        <w:jc w:val="left"/>
        <w:rPr>
          <w:rFonts w:ascii="Times New Roman" w:hAnsi="Times New Roman" w:eastAsia="仿宋_GB2312" w:cs="Times New Roman"/>
          <w:color w:val="000000" w:themeColor="text1"/>
          <w:sz w:val="32"/>
          <w:szCs w:val="32"/>
        </w:rPr>
      </w:pPr>
      <w:r>
        <w:rPr>
          <w:rFonts w:hint="default" w:ascii="Times New Roman" w:hAnsi="Times New Roman" w:eastAsia="仿宋_GB2312" w:cs="Times New Roman"/>
          <w:color w:val="000000" w:themeColor="text1"/>
          <w:sz w:val="32"/>
          <w:szCs w:val="32"/>
        </w:rPr>
        <w:t>⒋无房屋建筑和市政基础设施工程建设项目招标经历的市内招标代理机构。</w:t>
      </w:r>
    </w:p>
    <w:p>
      <w:pPr>
        <w:snapToGrid w:val="0"/>
        <w:spacing w:beforeLines="100" w:line="500" w:lineRule="exact"/>
        <w:jc w:val="center"/>
        <w:rPr>
          <w:rFonts w:ascii="Times New Roman" w:hAnsi="Times New Roman" w:eastAsia="仿宋_GB2312" w:cs="Times New Roman"/>
          <w:b/>
          <w:sz w:val="32"/>
          <w:szCs w:val="32"/>
        </w:rPr>
      </w:pPr>
      <w:r>
        <w:rPr>
          <w:rFonts w:hint="eastAsia" w:ascii="Times New Roman" w:hAnsi="Times New Roman" w:eastAsia="仿宋_GB2312" w:cs="Times New Roman"/>
          <w:b/>
          <w:sz w:val="32"/>
          <w:szCs w:val="32"/>
        </w:rPr>
        <w:t xml:space="preserve">第三章  评价信息录入、采集和结果公布 </w:t>
      </w:r>
    </w:p>
    <w:p>
      <w:pPr>
        <w:snapToGrid w:val="0"/>
        <w:spacing w:line="560" w:lineRule="exact"/>
        <w:ind w:firstLine="640" w:firstLineChars="200"/>
        <w:jc w:val="left"/>
        <w:rPr>
          <w:rFonts w:ascii="Times New Roman" w:hAnsi="Times New Roman" w:eastAsia="仿宋_GB2312" w:cs="Times New Roman"/>
          <w:color w:val="000000" w:themeColor="text1"/>
          <w:sz w:val="32"/>
          <w:szCs w:val="32"/>
        </w:rPr>
      </w:pPr>
      <w:r>
        <w:rPr>
          <w:rFonts w:hint="eastAsia" w:ascii="Times New Roman" w:hAnsi="Times New Roman" w:eastAsia="仿宋_GB2312" w:cs="Times New Roman"/>
          <w:color w:val="000000" w:themeColor="text1"/>
          <w:sz w:val="32"/>
          <w:szCs w:val="32"/>
        </w:rPr>
        <w:t>第七条 市内招标代理机构诚信评价信息的录入、采集和异议申请：</w:t>
      </w:r>
    </w:p>
    <w:p>
      <w:pPr>
        <w:snapToGrid w:val="0"/>
        <w:spacing w:line="560" w:lineRule="exact"/>
        <w:ind w:firstLine="640" w:firstLineChars="200"/>
        <w:jc w:val="left"/>
        <w:rPr>
          <w:rFonts w:ascii="Times New Roman" w:hAnsi="Times New Roman" w:eastAsia="仿宋_GB2312" w:cs="Times New Roman"/>
          <w:color w:val="000000" w:themeColor="text1"/>
          <w:sz w:val="32"/>
          <w:szCs w:val="32"/>
        </w:rPr>
      </w:pPr>
      <w:r>
        <w:rPr>
          <w:rFonts w:hint="eastAsia" w:ascii="Times New Roman" w:hAnsi="Times New Roman" w:eastAsia="仿宋_GB2312" w:cs="Times New Roman"/>
          <w:color w:val="000000" w:themeColor="text1"/>
          <w:sz w:val="32"/>
          <w:szCs w:val="32"/>
        </w:rPr>
        <w:t>（一）基本情况从“广西建筑市场监管与诚信信息一体化平台”（以下简称“诚信一体化平台”）采集，由企业在诚信一体化平台据实录入，由市住房城乡建设主管部门负责审核。 招标代理机构对相关信息有异议的，可通过诚信一体化平台向市住房城乡建设主管部门提出复核申请。</w:t>
      </w:r>
    </w:p>
    <w:p>
      <w:pPr>
        <w:snapToGrid w:val="0"/>
        <w:spacing w:line="560" w:lineRule="exact"/>
        <w:ind w:firstLine="640" w:firstLineChars="200"/>
        <w:jc w:val="left"/>
        <w:rPr>
          <w:rFonts w:ascii="Times New Roman" w:hAnsi="Times New Roman" w:eastAsia="仿宋_GB2312" w:cs="Times New Roman"/>
          <w:color w:val="000000" w:themeColor="text1"/>
          <w:sz w:val="32"/>
          <w:szCs w:val="32"/>
        </w:rPr>
      </w:pPr>
      <w:r>
        <w:rPr>
          <w:rFonts w:hint="eastAsia" w:ascii="Times New Roman" w:hAnsi="Times New Roman" w:eastAsia="仿宋_GB2312" w:cs="Times New Roman"/>
          <w:color w:val="000000" w:themeColor="text1"/>
          <w:sz w:val="32"/>
          <w:szCs w:val="32"/>
        </w:rPr>
        <w:t xml:space="preserve">（二）业绩情况从公共资源交易平台系统（含市本级和鹿寨县）自动采集后进行自动计算。招标代理机构对有关信息有异议的，可向市住房城乡建设主管部门（行业监管部门）提出复核申请。 </w:t>
      </w:r>
    </w:p>
    <w:p>
      <w:pPr>
        <w:snapToGrid w:val="0"/>
        <w:spacing w:line="560" w:lineRule="exact"/>
        <w:ind w:firstLine="640" w:firstLineChars="200"/>
        <w:jc w:val="left"/>
        <w:rPr>
          <w:rFonts w:ascii="Times New Roman" w:hAnsi="Times New Roman" w:eastAsia="仿宋_GB2312" w:cs="Times New Roman"/>
          <w:color w:val="000000" w:themeColor="text1"/>
          <w:sz w:val="32"/>
          <w:szCs w:val="32"/>
        </w:rPr>
      </w:pPr>
      <w:r>
        <w:rPr>
          <w:rFonts w:hint="eastAsia" w:ascii="Times New Roman" w:hAnsi="Times New Roman" w:eastAsia="仿宋_GB2312" w:cs="Times New Roman"/>
          <w:color w:val="000000" w:themeColor="text1"/>
          <w:sz w:val="32"/>
          <w:szCs w:val="32"/>
        </w:rPr>
        <w:t xml:space="preserve">（三）历史良好行为评价从诚信一体化平台采集，由系统自动统计。招标代理机构对相关信息有异议的，可通过诚信一体化平台向市住房城乡建设主管部门提出复核申请。 </w:t>
      </w:r>
    </w:p>
    <w:p>
      <w:pPr>
        <w:snapToGrid w:val="0"/>
        <w:spacing w:line="560" w:lineRule="exact"/>
        <w:ind w:firstLine="640" w:firstLineChars="200"/>
        <w:jc w:val="left"/>
        <w:rPr>
          <w:rFonts w:ascii="Times New Roman" w:hAnsi="Times New Roman" w:eastAsia="仿宋_GB2312" w:cs="Times New Roman"/>
          <w:color w:val="000000" w:themeColor="text1"/>
          <w:sz w:val="32"/>
          <w:szCs w:val="32"/>
        </w:rPr>
      </w:pPr>
      <w:r>
        <w:rPr>
          <w:rFonts w:hint="eastAsia" w:ascii="Times New Roman" w:hAnsi="Times New Roman" w:eastAsia="仿宋_GB2312" w:cs="Times New Roman"/>
          <w:color w:val="000000" w:themeColor="text1"/>
          <w:sz w:val="32"/>
          <w:szCs w:val="32"/>
        </w:rPr>
        <w:t xml:space="preserve">（四）通报表彰从诚信一体化平台采集，由企业在诚信一体化平台据实录入，由市住房城乡建设主管部门负责审核。招标代理机构对相关信息有异议的，可通过诚信一体化平台向市住房城乡建设主管部门提出复核申请。 </w:t>
      </w:r>
    </w:p>
    <w:p>
      <w:pPr>
        <w:snapToGrid w:val="0"/>
        <w:spacing w:line="560" w:lineRule="exact"/>
        <w:ind w:firstLine="640" w:firstLineChars="200"/>
        <w:jc w:val="left"/>
        <w:rPr>
          <w:rFonts w:ascii="Times New Roman" w:hAnsi="Times New Roman" w:eastAsia="仿宋_GB2312" w:cs="Times New Roman"/>
          <w:color w:val="000000" w:themeColor="text1"/>
          <w:sz w:val="32"/>
          <w:szCs w:val="32"/>
        </w:rPr>
      </w:pPr>
      <w:r>
        <w:rPr>
          <w:rFonts w:hint="eastAsia" w:ascii="Times New Roman" w:hAnsi="Times New Roman" w:eastAsia="仿宋_GB2312" w:cs="Times New Roman"/>
          <w:color w:val="000000" w:themeColor="text1"/>
          <w:sz w:val="32"/>
          <w:szCs w:val="32"/>
        </w:rPr>
        <w:t xml:space="preserve">（五）不良行为评价从诚信一体化平台采集，由市、县住房城乡建设主管部门（行业监管部门）、市政管办、公共资源交易中心（含市本级和鹿寨县）根据不良行为的具体情况进行录入。公共资源交易中心录入的不良行为，由负责监督该项目的住房城乡建设主管部门负责审核。招标代理机构对相关信息有异议的，可通过诚信一体化平台向负责监督该项目的住房城乡建设主管部门（行业监管部门）提出复核申请。 </w:t>
      </w:r>
    </w:p>
    <w:p>
      <w:pPr>
        <w:snapToGrid w:val="0"/>
        <w:spacing w:line="560" w:lineRule="exact"/>
        <w:ind w:firstLine="640" w:firstLineChars="200"/>
        <w:jc w:val="left"/>
        <w:rPr>
          <w:rFonts w:ascii="Times New Roman" w:hAnsi="Times New Roman" w:eastAsia="仿宋_GB2312" w:cs="Times New Roman"/>
          <w:color w:val="000000" w:themeColor="text1"/>
          <w:sz w:val="32"/>
          <w:szCs w:val="32"/>
        </w:rPr>
      </w:pPr>
      <w:r>
        <w:rPr>
          <w:rFonts w:hint="eastAsia" w:ascii="Times New Roman" w:hAnsi="Times New Roman" w:eastAsia="仿宋_GB2312" w:cs="Times New Roman"/>
          <w:color w:val="000000" w:themeColor="text1"/>
          <w:sz w:val="32"/>
          <w:szCs w:val="32"/>
        </w:rPr>
        <w:t xml:space="preserve">第八条 市外招标代理机构诚信评价信息的录入、采集和异议申请： </w:t>
      </w:r>
    </w:p>
    <w:p>
      <w:pPr>
        <w:snapToGrid w:val="0"/>
        <w:spacing w:line="560" w:lineRule="exact"/>
        <w:ind w:firstLine="640" w:firstLineChars="200"/>
        <w:jc w:val="left"/>
        <w:rPr>
          <w:rFonts w:ascii="Times New Roman" w:hAnsi="Times New Roman" w:eastAsia="仿宋_GB2312" w:cs="Times New Roman"/>
          <w:color w:val="000000" w:themeColor="text1"/>
          <w:sz w:val="32"/>
          <w:szCs w:val="32"/>
        </w:rPr>
      </w:pPr>
      <w:r>
        <w:rPr>
          <w:rFonts w:hint="eastAsia" w:ascii="Times New Roman" w:hAnsi="Times New Roman" w:eastAsia="仿宋_GB2312" w:cs="Times New Roman"/>
          <w:color w:val="000000" w:themeColor="text1"/>
          <w:sz w:val="32"/>
          <w:szCs w:val="32"/>
        </w:rPr>
        <w:t xml:space="preserve">（一）基本情况从诚信一体化平台采集，由企业在诚信一体化平台据实录入，以自治区住房城乡建设厅审核意见为准。招标代理机构对相关信息有异议的，可通过诚信一体化平台向自治区住房城乡建设厅提出复核申请。 </w:t>
      </w:r>
    </w:p>
    <w:p>
      <w:pPr>
        <w:snapToGrid w:val="0"/>
        <w:spacing w:line="560" w:lineRule="exact"/>
        <w:ind w:firstLine="640" w:firstLineChars="200"/>
        <w:jc w:val="left"/>
        <w:rPr>
          <w:rFonts w:ascii="Times New Roman" w:hAnsi="Times New Roman" w:eastAsia="仿宋_GB2312" w:cs="Times New Roman"/>
          <w:color w:val="000000" w:themeColor="text1"/>
          <w:sz w:val="32"/>
          <w:szCs w:val="32"/>
        </w:rPr>
      </w:pPr>
      <w:r>
        <w:rPr>
          <w:rFonts w:hint="eastAsia" w:ascii="Times New Roman" w:hAnsi="Times New Roman" w:eastAsia="仿宋_GB2312" w:cs="Times New Roman"/>
          <w:color w:val="000000" w:themeColor="text1"/>
          <w:sz w:val="32"/>
          <w:szCs w:val="32"/>
        </w:rPr>
        <w:t xml:space="preserve">（二）业绩情况从柳州市和鹿寨县公共资源交易平台系统自动采集后进行自动计算。招标代理机构对相关信息有异议的，可向市住房城乡建设主管部门（行业监管部门）提出复核申请。  </w:t>
      </w:r>
    </w:p>
    <w:p>
      <w:pPr>
        <w:snapToGrid w:val="0"/>
        <w:spacing w:line="560" w:lineRule="exact"/>
        <w:ind w:firstLine="640" w:firstLineChars="200"/>
        <w:jc w:val="left"/>
        <w:rPr>
          <w:rFonts w:ascii="Times New Roman" w:hAnsi="Times New Roman" w:eastAsia="仿宋_GB2312" w:cs="Times New Roman"/>
          <w:color w:val="000000" w:themeColor="text1"/>
          <w:sz w:val="32"/>
          <w:szCs w:val="32"/>
        </w:rPr>
      </w:pPr>
      <w:r>
        <w:rPr>
          <w:rFonts w:hint="eastAsia" w:ascii="Times New Roman" w:hAnsi="Times New Roman" w:eastAsia="仿宋_GB2312" w:cs="Times New Roman"/>
          <w:color w:val="000000" w:themeColor="text1"/>
          <w:sz w:val="32"/>
          <w:szCs w:val="32"/>
        </w:rPr>
        <w:t xml:space="preserve">（三）历史良好行为评价从诚信一体化平台采集，由系统自动统计。招标代理机构对相关信息有异议的，可通过诚信一体化平台向市住房城乡建设主管部门提出复核申请。 </w:t>
      </w:r>
    </w:p>
    <w:p>
      <w:pPr>
        <w:snapToGrid w:val="0"/>
        <w:spacing w:line="560" w:lineRule="exact"/>
        <w:ind w:firstLine="640" w:firstLineChars="200"/>
        <w:jc w:val="left"/>
        <w:rPr>
          <w:rFonts w:ascii="Times New Roman" w:hAnsi="Times New Roman" w:eastAsia="仿宋_GB2312" w:cs="Times New Roman"/>
          <w:color w:val="000000" w:themeColor="text1"/>
          <w:sz w:val="32"/>
          <w:szCs w:val="32"/>
        </w:rPr>
      </w:pPr>
      <w:r>
        <w:rPr>
          <w:rFonts w:hint="eastAsia" w:ascii="Times New Roman" w:hAnsi="Times New Roman" w:eastAsia="仿宋_GB2312" w:cs="Times New Roman"/>
          <w:color w:val="000000" w:themeColor="text1"/>
          <w:sz w:val="32"/>
          <w:szCs w:val="32"/>
        </w:rPr>
        <w:t xml:space="preserve">（四）通报表彰从诚信一体化平台采集，由企业在诚信一体化平台据实录入，由市住房城乡建设主管部门负责审核。招标代理机构对相关信息有异议的，可通过诚信一体化平台向市住房城乡建设主管部门提出复核申请。 </w:t>
      </w:r>
    </w:p>
    <w:p>
      <w:pPr>
        <w:snapToGrid w:val="0"/>
        <w:spacing w:line="560" w:lineRule="exact"/>
        <w:ind w:firstLine="640" w:firstLineChars="200"/>
        <w:jc w:val="left"/>
        <w:rPr>
          <w:rFonts w:ascii="Times New Roman" w:hAnsi="Times New Roman" w:eastAsia="仿宋_GB2312" w:cs="Times New Roman"/>
          <w:color w:val="000000" w:themeColor="text1"/>
          <w:sz w:val="32"/>
          <w:szCs w:val="32"/>
        </w:rPr>
      </w:pPr>
      <w:r>
        <w:rPr>
          <w:rFonts w:hint="eastAsia" w:ascii="Times New Roman" w:hAnsi="Times New Roman" w:eastAsia="仿宋_GB2312" w:cs="Times New Roman"/>
          <w:color w:val="000000" w:themeColor="text1"/>
          <w:sz w:val="32"/>
          <w:szCs w:val="32"/>
        </w:rPr>
        <w:t xml:space="preserve">（五）不良行为评价从诚信一体化平台采集，由市、县住房城乡建设主管部门（行业监管部门）、市政管办、公共资源交易中心（含市本级和鹿寨县）根据不良行为的具体情况进行录入。由公共资源交易中心录入的不良行为，由负责监督该项目的住房城乡建设主管部门负责审核。招标代理机构对相关信息有异议的，可通过诚信一体化平台向负责监督该项目的住房城乡建设主管部门（行业监管部门）提出复核申请。 </w:t>
      </w:r>
    </w:p>
    <w:p>
      <w:pPr>
        <w:snapToGrid w:val="0"/>
        <w:spacing w:line="560" w:lineRule="exact"/>
        <w:ind w:firstLine="640" w:firstLineChars="200"/>
        <w:jc w:val="left"/>
        <w:rPr>
          <w:rFonts w:ascii="Times New Roman" w:hAnsi="Times New Roman" w:eastAsia="仿宋_GB2312" w:cs="Times New Roman"/>
          <w:color w:val="000000" w:themeColor="text1"/>
          <w:sz w:val="32"/>
          <w:szCs w:val="32"/>
        </w:rPr>
      </w:pPr>
      <w:r>
        <w:rPr>
          <w:rFonts w:hint="eastAsia" w:ascii="Times New Roman" w:hAnsi="Times New Roman" w:eastAsia="仿宋_GB2312" w:cs="Times New Roman"/>
          <w:color w:val="000000" w:themeColor="text1"/>
          <w:sz w:val="32"/>
          <w:szCs w:val="32"/>
        </w:rPr>
        <w:t>第九条 各级住房城乡建设主管部门或招投标监管部门在收到招标代理机构对异议信息的复核申请后 10 个工作日内组织核实，对确认的错误信息进行修正，并重新公布诚信综合评价结果。</w:t>
      </w:r>
    </w:p>
    <w:p>
      <w:pPr>
        <w:snapToGrid w:val="0"/>
        <w:spacing w:line="560" w:lineRule="exact"/>
        <w:ind w:firstLine="640" w:firstLineChars="200"/>
        <w:jc w:val="left"/>
        <w:rPr>
          <w:rFonts w:ascii="Times New Roman" w:hAnsi="Times New Roman" w:eastAsia="仿宋_GB2312" w:cs="Times New Roman"/>
          <w:color w:val="000000" w:themeColor="text1"/>
          <w:sz w:val="32"/>
          <w:szCs w:val="32"/>
        </w:rPr>
      </w:pPr>
      <w:r>
        <w:rPr>
          <w:rFonts w:hint="eastAsia" w:ascii="Times New Roman" w:hAnsi="Times New Roman" w:eastAsia="仿宋_GB2312" w:cs="Times New Roman"/>
          <w:color w:val="000000" w:themeColor="text1"/>
          <w:sz w:val="32"/>
          <w:szCs w:val="32"/>
        </w:rPr>
        <w:t xml:space="preserve">第十条 招标代理机构的诚信综合评价信息和结果在柳州市住房和城乡建设局网站、柳州市公共资源交易中心网站公布。诚信综合评价信息在系统得分更新之前公示 5 个工作日。诚信综合评价结果中的基本情况和业绩情况得分以一年为周期进行更新，更新工作于每年 7 月 1 日前完成；诚信评价结果中履职行为得分以一个季度为周期进行更新，更新工作于下一季度的首月 15 日前完成。 </w:t>
      </w:r>
    </w:p>
    <w:p>
      <w:pPr>
        <w:snapToGrid w:val="0"/>
        <w:spacing w:beforeLines="100" w:line="500" w:lineRule="exact"/>
        <w:jc w:val="both"/>
        <w:rPr>
          <w:rFonts w:ascii="Times New Roman" w:hAnsi="Times New Roman" w:eastAsia="仿宋_GB2312" w:cs="Times New Roman"/>
          <w:b/>
          <w:sz w:val="32"/>
          <w:szCs w:val="32"/>
        </w:rPr>
      </w:pPr>
    </w:p>
    <w:p>
      <w:pPr>
        <w:snapToGrid w:val="0"/>
        <w:spacing w:beforeLines="100" w:line="500" w:lineRule="exact"/>
        <w:jc w:val="center"/>
        <w:rPr>
          <w:rFonts w:ascii="Times New Roman" w:hAnsi="Times New Roman" w:eastAsia="仿宋_GB2312" w:cs="Times New Roman"/>
          <w:b/>
          <w:sz w:val="32"/>
          <w:szCs w:val="32"/>
        </w:rPr>
      </w:pPr>
      <w:r>
        <w:rPr>
          <w:rFonts w:hint="eastAsia" w:ascii="Times New Roman" w:hAnsi="Times New Roman" w:eastAsia="仿宋_GB2312" w:cs="Times New Roman"/>
          <w:b/>
          <w:sz w:val="32"/>
          <w:szCs w:val="32"/>
        </w:rPr>
        <w:t xml:space="preserve">第四章 附 则 </w:t>
      </w:r>
    </w:p>
    <w:p>
      <w:pPr>
        <w:snapToGrid w:val="0"/>
        <w:spacing w:line="560" w:lineRule="exact"/>
        <w:ind w:firstLine="640" w:firstLineChars="200"/>
        <w:jc w:val="left"/>
        <w:rPr>
          <w:rFonts w:ascii="Times New Roman" w:hAnsi="Times New Roman" w:eastAsia="仿宋_GB2312" w:cs="Times New Roman"/>
          <w:color w:val="000000" w:themeColor="text1"/>
          <w:sz w:val="32"/>
          <w:szCs w:val="32"/>
        </w:rPr>
      </w:pPr>
      <w:r>
        <w:rPr>
          <w:rFonts w:hint="eastAsia" w:ascii="Times New Roman" w:hAnsi="Times New Roman" w:eastAsia="仿宋_GB2312" w:cs="Times New Roman"/>
          <w:color w:val="000000" w:themeColor="text1"/>
          <w:sz w:val="32"/>
          <w:szCs w:val="32"/>
        </w:rPr>
        <w:t xml:space="preserve">第十一条 本办法自 2021 年3月1日起实施。 </w:t>
      </w:r>
    </w:p>
    <w:p>
      <w:pPr>
        <w:snapToGrid w:val="0"/>
        <w:spacing w:line="560" w:lineRule="exact"/>
        <w:ind w:firstLine="640" w:firstLineChars="200"/>
        <w:jc w:val="left"/>
        <w:rPr>
          <w:rFonts w:ascii="Times New Roman" w:hAnsi="Times New Roman" w:eastAsia="仿宋_GB2312" w:cs="Times New Roman"/>
          <w:color w:val="000000" w:themeColor="text1"/>
          <w:sz w:val="32"/>
          <w:szCs w:val="32"/>
        </w:rPr>
      </w:pPr>
    </w:p>
    <w:p>
      <w:pPr>
        <w:snapToGrid w:val="0"/>
        <w:spacing w:line="560" w:lineRule="exact"/>
        <w:ind w:firstLine="640" w:firstLineChars="200"/>
        <w:jc w:val="left"/>
        <w:rPr>
          <w:rFonts w:ascii="Times New Roman" w:hAnsi="Times New Roman" w:eastAsia="仿宋_GB2312" w:cs="Times New Roman"/>
          <w:color w:val="000000" w:themeColor="text1"/>
          <w:sz w:val="32"/>
          <w:szCs w:val="32"/>
        </w:rPr>
      </w:pPr>
      <w:r>
        <w:rPr>
          <w:rFonts w:hint="eastAsia" w:ascii="Times New Roman" w:hAnsi="Times New Roman" w:eastAsia="仿宋_GB2312" w:cs="Times New Roman"/>
          <w:color w:val="000000" w:themeColor="text1"/>
          <w:sz w:val="32"/>
          <w:szCs w:val="32"/>
        </w:rPr>
        <w:t xml:space="preserve">附件：1.招标代理机构诚信综合评价表 </w:t>
      </w:r>
    </w:p>
    <w:p>
      <w:pPr>
        <w:snapToGrid w:val="0"/>
        <w:spacing w:line="560" w:lineRule="exact"/>
        <w:ind w:firstLine="1600" w:firstLineChars="500"/>
        <w:jc w:val="left"/>
        <w:rPr>
          <w:rFonts w:ascii="Times New Roman" w:hAnsi="Times New Roman" w:eastAsia="仿宋_GB2312" w:cs="Times New Roman"/>
          <w:color w:val="000000" w:themeColor="text1"/>
          <w:sz w:val="32"/>
          <w:szCs w:val="32"/>
        </w:rPr>
      </w:pPr>
      <w:r>
        <w:rPr>
          <w:rFonts w:hint="eastAsia" w:ascii="Times New Roman" w:hAnsi="Times New Roman" w:eastAsia="仿宋_GB2312" w:cs="Times New Roman"/>
          <w:color w:val="000000" w:themeColor="text1"/>
          <w:sz w:val="32"/>
          <w:szCs w:val="32"/>
        </w:rPr>
        <w:t xml:space="preserve">2.招标代理机构不良行为扣分表 </w:t>
      </w:r>
    </w:p>
    <w:p>
      <w:pPr>
        <w:snapToGrid w:val="0"/>
        <w:spacing w:line="560" w:lineRule="exact"/>
        <w:ind w:firstLine="1600" w:firstLineChars="500"/>
        <w:jc w:val="left"/>
        <w:rPr>
          <w:rFonts w:ascii="Times New Roman" w:hAnsi="Times New Roman" w:eastAsia="仿宋_GB2312" w:cs="Times New Roman"/>
          <w:color w:val="000000" w:themeColor="text1"/>
          <w:sz w:val="32"/>
          <w:szCs w:val="32"/>
        </w:rPr>
      </w:pPr>
      <w:r>
        <w:rPr>
          <w:rFonts w:hint="eastAsia" w:ascii="Times New Roman" w:hAnsi="Times New Roman" w:eastAsia="仿宋_GB2312" w:cs="Times New Roman"/>
          <w:color w:val="000000" w:themeColor="text1"/>
          <w:sz w:val="32"/>
          <w:szCs w:val="32"/>
        </w:rPr>
        <w:t>3.业务质量考评专项检查表</w:t>
      </w:r>
    </w:p>
    <w:p>
      <w:pPr>
        <w:snapToGrid w:val="0"/>
        <w:spacing w:line="560" w:lineRule="exact"/>
        <w:ind w:firstLine="1600" w:firstLineChars="500"/>
        <w:jc w:val="left"/>
        <w:rPr>
          <w:rFonts w:ascii="Times New Roman" w:hAnsi="Times New Roman" w:eastAsia="仿宋_GB2312" w:cs="Times New Roman"/>
          <w:color w:val="000000" w:themeColor="text1"/>
          <w:sz w:val="32"/>
          <w:szCs w:val="32"/>
        </w:rPr>
      </w:pPr>
      <w:r>
        <w:rPr>
          <w:rFonts w:hint="eastAsia" w:ascii="Times New Roman" w:hAnsi="Times New Roman" w:eastAsia="仿宋_GB2312" w:cs="Times New Roman"/>
          <w:color w:val="000000" w:themeColor="text1"/>
          <w:sz w:val="32"/>
          <w:szCs w:val="32"/>
        </w:rPr>
        <w:t>4.招标单位对代理机构“一标一评”评价表</w:t>
      </w:r>
    </w:p>
    <w:p>
      <w:pPr>
        <w:snapToGrid w:val="0"/>
        <w:spacing w:line="560" w:lineRule="exact"/>
        <w:ind w:firstLine="1600" w:firstLineChars="500"/>
        <w:jc w:val="left"/>
        <w:rPr>
          <w:rFonts w:ascii="Times New Roman" w:hAnsi="Times New Roman" w:eastAsia="仿宋_GB2312" w:cs="Times New Roman"/>
          <w:color w:val="000000" w:themeColor="text1"/>
          <w:sz w:val="32"/>
          <w:szCs w:val="32"/>
        </w:rPr>
      </w:pPr>
      <w:r>
        <w:rPr>
          <w:rFonts w:hint="eastAsia" w:ascii="Times New Roman" w:hAnsi="Times New Roman" w:eastAsia="仿宋_GB2312" w:cs="Times New Roman"/>
          <w:color w:val="000000" w:themeColor="text1"/>
          <w:sz w:val="32"/>
          <w:szCs w:val="32"/>
        </w:rPr>
        <w:t>5.****年度柳州市信用评价招标代理机构名单</w:t>
      </w:r>
    </w:p>
    <w:p>
      <w:pPr>
        <w:snapToGrid w:val="0"/>
        <w:spacing w:line="560" w:lineRule="exact"/>
        <w:ind w:firstLine="1600" w:firstLineChars="500"/>
        <w:jc w:val="left"/>
        <w:rPr>
          <w:rFonts w:ascii="Times New Roman" w:hAnsi="Times New Roman" w:eastAsia="仿宋_GB2312" w:cs="Times New Roman"/>
          <w:color w:val="000000" w:themeColor="text1"/>
          <w:sz w:val="32"/>
          <w:szCs w:val="32"/>
        </w:rPr>
      </w:pPr>
      <w:r>
        <w:rPr>
          <w:rFonts w:hint="eastAsia" w:ascii="Times New Roman" w:hAnsi="Times New Roman" w:eastAsia="仿宋_GB2312" w:cs="Times New Roman"/>
          <w:color w:val="000000" w:themeColor="text1"/>
          <w:sz w:val="32"/>
          <w:szCs w:val="32"/>
        </w:rPr>
        <w:t>6.相关计分标准说明</w:t>
      </w:r>
    </w:p>
    <w:p>
      <w:pPr>
        <w:jc w:val="left"/>
        <w:rPr>
          <w:rFonts w:ascii="Times New Roman" w:hAnsi="Times New Roman" w:eastAsia="黑体" w:cs="Times New Roman"/>
          <w:sz w:val="32"/>
          <w:szCs w:val="32"/>
        </w:rPr>
      </w:pPr>
      <w:r>
        <w:rPr>
          <w:rFonts w:hint="eastAsia" w:ascii="Times New Roman" w:hAnsi="Times New Roman" w:eastAsia="黑体" w:cs="Times New Roman"/>
          <w:sz w:val="32"/>
          <w:szCs w:val="32"/>
        </w:rPr>
        <w:t>附件1</w:t>
      </w:r>
    </w:p>
    <w:p>
      <w:pPr>
        <w:jc w:val="center"/>
        <w:rPr>
          <w:rFonts w:ascii="黑体" w:eastAsia="黑体"/>
          <w:color w:val="000000"/>
          <w:sz w:val="32"/>
          <w:szCs w:val="32"/>
        </w:rPr>
      </w:pPr>
      <w:r>
        <w:rPr>
          <w:rFonts w:hint="eastAsia" w:ascii="黑体" w:eastAsia="黑体"/>
          <w:color w:val="000000"/>
          <w:sz w:val="32"/>
          <w:szCs w:val="32"/>
        </w:rPr>
        <w:t>柳州市</w:t>
      </w:r>
      <w:r>
        <w:rPr>
          <w:rFonts w:ascii="黑体" w:eastAsia="黑体"/>
          <w:color w:val="000000"/>
          <w:sz w:val="32"/>
          <w:szCs w:val="32"/>
        </w:rPr>
        <w:t>招标代理机构诚信综合评价表</w:t>
      </w:r>
    </w:p>
    <w:tbl>
      <w:tblPr>
        <w:tblStyle w:val="5"/>
        <w:tblW w:w="8571" w:type="dxa"/>
        <w:jc w:val="center"/>
        <w:tblCellSpacing w:w="0" w:type="dxa"/>
        <w:tblBorders>
          <w:top w:val="single" w:color="CCCCCC" w:sz="6" w:space="0"/>
          <w:left w:val="single" w:color="CCCCCC" w:sz="6" w:space="0"/>
          <w:bottom w:val="single" w:color="CCCCCC" w:sz="6" w:space="0"/>
          <w:right w:val="single" w:color="CCCCCC" w:sz="6" w:space="0"/>
          <w:insideH w:val="outset" w:color="auto" w:sz="6" w:space="0"/>
          <w:insideV w:val="outset" w:color="auto" w:sz="6" w:space="0"/>
        </w:tblBorders>
        <w:tblLayout w:type="fixed"/>
        <w:tblCellMar>
          <w:top w:w="105" w:type="dxa"/>
          <w:left w:w="105" w:type="dxa"/>
          <w:bottom w:w="105" w:type="dxa"/>
          <w:right w:w="105" w:type="dxa"/>
        </w:tblCellMar>
      </w:tblPr>
      <w:tblGrid>
        <w:gridCol w:w="562"/>
        <w:gridCol w:w="644"/>
        <w:gridCol w:w="562"/>
        <w:gridCol w:w="855"/>
        <w:gridCol w:w="2382"/>
        <w:gridCol w:w="2643"/>
        <w:gridCol w:w="923"/>
      </w:tblGrid>
      <w:tr>
        <w:tblPrEx>
          <w:tblBorders>
            <w:top w:val="single" w:color="CCCCCC" w:sz="6" w:space="0"/>
            <w:left w:val="single" w:color="CCCCCC" w:sz="6" w:space="0"/>
            <w:bottom w:val="single" w:color="CCCCCC" w:sz="6" w:space="0"/>
            <w:right w:val="single" w:color="CCCCCC" w:sz="6" w:space="0"/>
            <w:insideH w:val="outset" w:color="auto" w:sz="6" w:space="0"/>
            <w:insideV w:val="outset" w:color="auto" w:sz="6" w:space="0"/>
          </w:tblBorders>
          <w:tblCellMar>
            <w:top w:w="105" w:type="dxa"/>
            <w:left w:w="105" w:type="dxa"/>
            <w:bottom w:w="105" w:type="dxa"/>
            <w:right w:w="105" w:type="dxa"/>
          </w:tblCellMar>
        </w:tblPrEx>
        <w:trPr>
          <w:trHeight w:val="211" w:hRule="atLeast"/>
          <w:tblHeader/>
          <w:tblCellSpacing w:w="0" w:type="dxa"/>
          <w:jc w:val="center"/>
        </w:trPr>
        <w:tc>
          <w:tcPr>
            <w:tcW w:w="562" w:type="dxa"/>
            <w:tcBorders>
              <w:top w:val="single" w:color="auto" w:sz="4" w:space="0"/>
              <w:left w:val="single" w:color="CCCCCC" w:sz="6" w:space="0"/>
              <w:bottom w:val="single" w:color="auto" w:sz="4" w:space="0"/>
              <w:right w:val="single" w:color="auto" w:sz="4" w:space="0"/>
            </w:tcBorders>
            <w:tcMar>
              <w:top w:w="75" w:type="dxa"/>
              <w:left w:w="120" w:type="dxa"/>
              <w:bottom w:w="75" w:type="dxa"/>
              <w:right w:w="120" w:type="dxa"/>
            </w:tcMar>
            <w:vAlign w:val="center"/>
          </w:tcPr>
          <w:p>
            <w:pPr>
              <w:pStyle w:val="4"/>
              <w:widowControl/>
              <w:wordWrap w:val="0"/>
              <w:spacing w:beforeAutospacing="1" w:afterAutospacing="1"/>
              <w:jc w:val="center"/>
              <w:rPr>
                <w:b/>
                <w:bCs/>
                <w:szCs w:val="24"/>
              </w:rPr>
            </w:pPr>
            <w:r>
              <w:rPr>
                <w:rFonts w:ascii="cursive" w:hAnsi="cursive" w:eastAsia="cursive" w:cs="cursive"/>
                <w:b/>
                <w:bCs/>
                <w:szCs w:val="24"/>
              </w:rPr>
              <w:t>序号</w:t>
            </w:r>
          </w:p>
        </w:tc>
        <w:tc>
          <w:tcPr>
            <w:tcW w:w="644" w:type="dxa"/>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pPr>
              <w:pStyle w:val="4"/>
              <w:widowControl/>
              <w:wordWrap w:val="0"/>
              <w:spacing w:beforeAutospacing="1" w:afterAutospacing="1"/>
              <w:jc w:val="center"/>
              <w:rPr>
                <w:b/>
                <w:bCs/>
                <w:szCs w:val="24"/>
              </w:rPr>
            </w:pPr>
            <w:r>
              <w:rPr>
                <w:rFonts w:ascii="cursive" w:hAnsi="cursive" w:eastAsia="cursive" w:cs="cursive"/>
                <w:b/>
                <w:bCs/>
                <w:szCs w:val="24"/>
              </w:rPr>
              <w:t>项目</w:t>
            </w:r>
          </w:p>
        </w:tc>
        <w:tc>
          <w:tcPr>
            <w:tcW w:w="562" w:type="dxa"/>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pPr>
              <w:pStyle w:val="4"/>
              <w:widowControl/>
              <w:wordWrap w:val="0"/>
              <w:spacing w:beforeAutospacing="1" w:afterAutospacing="1"/>
              <w:jc w:val="center"/>
              <w:rPr>
                <w:b/>
                <w:bCs/>
                <w:szCs w:val="24"/>
              </w:rPr>
            </w:pPr>
            <w:r>
              <w:rPr>
                <w:rFonts w:ascii="cursive" w:hAnsi="cursive" w:eastAsia="cursive" w:cs="cursive"/>
                <w:b/>
                <w:bCs/>
                <w:szCs w:val="24"/>
              </w:rPr>
              <w:t>分值</w:t>
            </w:r>
          </w:p>
        </w:tc>
        <w:tc>
          <w:tcPr>
            <w:tcW w:w="855" w:type="dxa"/>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pPr>
              <w:pStyle w:val="4"/>
              <w:widowControl/>
              <w:wordWrap w:val="0"/>
              <w:spacing w:beforeAutospacing="1" w:afterAutospacing="1"/>
              <w:jc w:val="center"/>
              <w:rPr>
                <w:b/>
                <w:bCs/>
                <w:szCs w:val="24"/>
              </w:rPr>
            </w:pPr>
            <w:r>
              <w:rPr>
                <w:rFonts w:ascii="cursive" w:hAnsi="cursive" w:eastAsia="cursive" w:cs="cursive"/>
                <w:b/>
                <w:bCs/>
                <w:szCs w:val="24"/>
              </w:rPr>
              <w:t>子项</w:t>
            </w:r>
          </w:p>
        </w:tc>
        <w:tc>
          <w:tcPr>
            <w:tcW w:w="5948" w:type="dxa"/>
            <w:gridSpan w:val="3"/>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pPr>
              <w:pStyle w:val="4"/>
              <w:widowControl/>
              <w:wordWrap w:val="0"/>
              <w:spacing w:beforeAutospacing="1" w:afterAutospacing="1"/>
              <w:jc w:val="center"/>
              <w:rPr>
                <w:b/>
                <w:bCs/>
                <w:szCs w:val="24"/>
              </w:rPr>
            </w:pPr>
            <w:r>
              <w:rPr>
                <w:rFonts w:ascii="cursive" w:hAnsi="cursive" w:eastAsia="cursive" w:cs="cursive"/>
                <w:b/>
                <w:bCs/>
                <w:szCs w:val="24"/>
              </w:rPr>
              <w:t>评价标准及单项得分</w:t>
            </w:r>
          </w:p>
        </w:tc>
      </w:tr>
      <w:tr>
        <w:tblPrEx>
          <w:tblBorders>
            <w:top w:val="single" w:color="CCCCCC" w:sz="6" w:space="0"/>
            <w:left w:val="single" w:color="CCCCCC" w:sz="6" w:space="0"/>
            <w:bottom w:val="single" w:color="CCCCCC" w:sz="6" w:space="0"/>
            <w:right w:val="single" w:color="CCCCCC" w:sz="6" w:space="0"/>
            <w:insideH w:val="outset" w:color="auto" w:sz="6" w:space="0"/>
            <w:insideV w:val="outset" w:color="auto" w:sz="6" w:space="0"/>
          </w:tblBorders>
          <w:tblCellMar>
            <w:top w:w="105" w:type="dxa"/>
            <w:left w:w="105" w:type="dxa"/>
            <w:bottom w:w="105" w:type="dxa"/>
            <w:right w:w="105" w:type="dxa"/>
          </w:tblCellMar>
        </w:tblPrEx>
        <w:trPr>
          <w:trHeight w:val="524" w:hRule="atLeast"/>
          <w:tblCellSpacing w:w="0" w:type="dxa"/>
          <w:jc w:val="center"/>
        </w:trPr>
        <w:tc>
          <w:tcPr>
            <w:tcW w:w="562" w:type="dxa"/>
            <w:vMerge w:val="restart"/>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pPr>
              <w:pStyle w:val="4"/>
              <w:widowControl/>
              <w:wordWrap w:val="0"/>
              <w:spacing w:beforeAutospacing="1" w:afterAutospacing="1"/>
              <w:jc w:val="center"/>
              <w:rPr>
                <w:rFonts w:ascii="Times New Roman" w:hAnsi="Times New Roman" w:eastAsia="微软雅黑" w:cs="Times New Roman"/>
                <w:szCs w:val="24"/>
              </w:rPr>
            </w:pPr>
            <w:r>
              <w:rPr>
                <w:rFonts w:ascii="Times New Roman" w:hAnsi="Times New Roman" w:eastAsia="微软雅黑" w:cs="Times New Roman"/>
                <w:b/>
                <w:bCs/>
                <w:szCs w:val="24"/>
              </w:rPr>
              <w:t>1</w:t>
            </w:r>
          </w:p>
        </w:tc>
        <w:tc>
          <w:tcPr>
            <w:tcW w:w="644" w:type="dxa"/>
            <w:vMerge w:val="restart"/>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pPr>
              <w:pStyle w:val="4"/>
              <w:widowControl/>
              <w:wordWrap w:val="0"/>
              <w:spacing w:beforeAutospacing="1" w:afterAutospacing="1"/>
              <w:jc w:val="center"/>
              <w:rPr>
                <w:rFonts w:ascii="Times New Roman" w:hAnsi="Times New Roman" w:eastAsia="微软雅黑" w:cs="Times New Roman"/>
                <w:szCs w:val="24"/>
              </w:rPr>
            </w:pPr>
            <w:r>
              <w:rPr>
                <w:rFonts w:ascii="Times New Roman" w:hAnsi="Times New Roman" w:eastAsia="微软雅黑" w:cs="Times New Roman"/>
                <w:b/>
                <w:bCs/>
                <w:szCs w:val="24"/>
              </w:rPr>
              <w:t>基</w:t>
            </w:r>
            <w:r>
              <w:rPr>
                <w:rFonts w:hint="eastAsia" w:ascii="方正大黑简体" w:eastAsia="方正大黑简体" w:cs="方正大黑简体"/>
                <w:b/>
                <w:bCs/>
                <w:szCs w:val="24"/>
              </w:rPr>
              <w:t>本情</w:t>
            </w:r>
            <w:r>
              <w:rPr>
                <w:rFonts w:ascii="Times New Roman" w:hAnsi="Times New Roman" w:eastAsia="微软雅黑" w:cs="Times New Roman"/>
                <w:b/>
                <w:bCs/>
                <w:szCs w:val="24"/>
              </w:rPr>
              <w:t>况</w:t>
            </w:r>
          </w:p>
        </w:tc>
        <w:tc>
          <w:tcPr>
            <w:tcW w:w="562" w:type="dxa"/>
            <w:vMerge w:val="restart"/>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pPr>
              <w:pStyle w:val="4"/>
              <w:widowControl/>
              <w:wordWrap w:val="0"/>
              <w:spacing w:beforeAutospacing="1" w:afterAutospacing="1"/>
              <w:jc w:val="center"/>
              <w:rPr>
                <w:rFonts w:ascii="Times New Roman" w:hAnsi="Times New Roman" w:eastAsia="微软雅黑" w:cs="Times New Roman"/>
                <w:szCs w:val="24"/>
              </w:rPr>
            </w:pPr>
            <w:r>
              <w:rPr>
                <w:rFonts w:ascii="Times New Roman" w:hAnsi="Times New Roman" w:eastAsia="微软雅黑" w:cs="Times New Roman"/>
                <w:szCs w:val="24"/>
              </w:rPr>
              <w:t>4</w:t>
            </w:r>
          </w:p>
        </w:tc>
        <w:tc>
          <w:tcPr>
            <w:tcW w:w="855" w:type="dxa"/>
            <w:vMerge w:val="restart"/>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pPr>
              <w:pStyle w:val="4"/>
              <w:widowControl/>
              <w:wordWrap w:val="0"/>
              <w:spacing w:beforeAutospacing="1"/>
              <w:rPr>
                <w:rFonts w:ascii="宋体" w:eastAsia="宋体" w:cs="宋体"/>
                <w:color w:val="000000" w:themeColor="text1"/>
                <w:szCs w:val="24"/>
              </w:rPr>
            </w:pPr>
            <w:r>
              <w:rPr>
                <w:rFonts w:ascii="宋体" w:eastAsia="宋体" w:cs="宋体"/>
                <w:color w:val="000000" w:themeColor="text1"/>
                <w:szCs w:val="24"/>
              </w:rPr>
              <w:t>专</w:t>
            </w:r>
          </w:p>
          <w:p>
            <w:pPr>
              <w:pStyle w:val="4"/>
              <w:widowControl/>
              <w:wordWrap w:val="0"/>
              <w:spacing w:beforeAutospacing="1"/>
              <w:rPr>
                <w:rFonts w:ascii="宋体" w:eastAsia="宋体" w:cs="宋体"/>
                <w:color w:val="000000" w:themeColor="text1"/>
                <w:szCs w:val="24"/>
              </w:rPr>
            </w:pPr>
            <w:r>
              <w:rPr>
                <w:rFonts w:ascii="宋体" w:eastAsia="宋体" w:cs="宋体"/>
                <w:color w:val="000000" w:themeColor="text1"/>
                <w:szCs w:val="24"/>
              </w:rPr>
              <w:t>职</w:t>
            </w:r>
          </w:p>
          <w:p>
            <w:pPr>
              <w:pStyle w:val="4"/>
              <w:widowControl/>
              <w:wordWrap w:val="0"/>
              <w:spacing w:beforeAutospacing="1"/>
              <w:rPr>
                <w:rFonts w:ascii="宋体" w:eastAsia="宋体" w:cs="宋体"/>
                <w:color w:val="000000" w:themeColor="text1"/>
                <w:szCs w:val="24"/>
              </w:rPr>
            </w:pPr>
            <w:r>
              <w:rPr>
                <w:rFonts w:ascii="宋体" w:eastAsia="宋体" w:cs="宋体"/>
                <w:color w:val="000000" w:themeColor="text1"/>
                <w:szCs w:val="24"/>
              </w:rPr>
              <w:t>人</w:t>
            </w:r>
          </w:p>
          <w:p>
            <w:pPr>
              <w:pStyle w:val="4"/>
              <w:widowControl/>
              <w:wordWrap w:val="0"/>
              <w:spacing w:beforeAutospacing="1"/>
              <w:rPr>
                <w:rFonts w:ascii="宋体" w:eastAsia="宋体" w:cs="宋体"/>
                <w:color w:val="000000" w:themeColor="text1"/>
                <w:szCs w:val="24"/>
              </w:rPr>
            </w:pPr>
            <w:r>
              <w:rPr>
                <w:rFonts w:ascii="宋体" w:eastAsia="宋体" w:cs="宋体"/>
                <w:color w:val="000000" w:themeColor="text1"/>
                <w:szCs w:val="24"/>
              </w:rPr>
              <w:t>员</w:t>
            </w:r>
          </w:p>
        </w:tc>
        <w:tc>
          <w:tcPr>
            <w:tcW w:w="2382" w:type="dxa"/>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pPr>
              <w:pStyle w:val="4"/>
              <w:widowControl/>
              <w:wordWrap w:val="0"/>
              <w:spacing w:beforeAutospacing="1"/>
              <w:rPr>
                <w:rFonts w:ascii="宋体" w:eastAsia="宋体" w:cs="宋体"/>
                <w:color w:val="000000" w:themeColor="text1"/>
                <w:szCs w:val="24"/>
              </w:rPr>
            </w:pPr>
            <w:r>
              <w:rPr>
                <w:rFonts w:ascii="宋体" w:eastAsia="宋体" w:cs="宋体"/>
                <w:color w:val="000000" w:themeColor="text1"/>
                <w:szCs w:val="24"/>
              </w:rPr>
              <w:t>评价说明</w:t>
            </w:r>
          </w:p>
        </w:tc>
        <w:tc>
          <w:tcPr>
            <w:tcW w:w="2643" w:type="dxa"/>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pPr>
              <w:pStyle w:val="4"/>
              <w:widowControl/>
              <w:wordWrap w:val="0"/>
              <w:spacing w:beforeAutospacing="1"/>
              <w:rPr>
                <w:rFonts w:ascii="宋体" w:eastAsia="宋体" w:cs="宋体"/>
                <w:color w:val="000000" w:themeColor="text1"/>
                <w:szCs w:val="24"/>
              </w:rPr>
            </w:pPr>
            <w:r>
              <w:rPr>
                <w:rFonts w:ascii="宋体" w:eastAsia="宋体" w:cs="宋体"/>
                <w:color w:val="000000" w:themeColor="text1"/>
                <w:szCs w:val="24"/>
              </w:rPr>
              <w:t>评价标准</w:t>
            </w:r>
          </w:p>
        </w:tc>
        <w:tc>
          <w:tcPr>
            <w:tcW w:w="923" w:type="dxa"/>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pPr>
              <w:pStyle w:val="4"/>
              <w:widowControl/>
              <w:wordWrap w:val="0"/>
              <w:spacing w:beforeAutospacing="1"/>
              <w:rPr>
                <w:rFonts w:ascii="宋体" w:eastAsia="宋体" w:cs="宋体"/>
                <w:color w:val="000000" w:themeColor="text1"/>
                <w:szCs w:val="24"/>
              </w:rPr>
            </w:pPr>
            <w:r>
              <w:rPr>
                <w:rFonts w:ascii="宋体" w:eastAsia="宋体" w:cs="宋体"/>
                <w:color w:val="000000" w:themeColor="text1"/>
                <w:szCs w:val="24"/>
              </w:rPr>
              <w:t>得分</w:t>
            </w:r>
          </w:p>
        </w:tc>
      </w:tr>
      <w:tr>
        <w:tblPrEx>
          <w:tblBorders>
            <w:top w:val="single" w:color="CCCCCC" w:sz="6" w:space="0"/>
            <w:left w:val="single" w:color="CCCCCC" w:sz="6" w:space="0"/>
            <w:bottom w:val="single" w:color="CCCCCC" w:sz="6" w:space="0"/>
            <w:right w:val="single" w:color="CCCCCC" w:sz="6" w:space="0"/>
            <w:insideH w:val="outset" w:color="auto" w:sz="6" w:space="0"/>
            <w:insideV w:val="outset" w:color="auto" w:sz="6" w:space="0"/>
          </w:tblBorders>
          <w:tblCellMar>
            <w:top w:w="105" w:type="dxa"/>
            <w:left w:w="105" w:type="dxa"/>
            <w:bottom w:w="105" w:type="dxa"/>
            <w:right w:w="105" w:type="dxa"/>
          </w:tblCellMar>
        </w:tblPrEx>
        <w:trPr>
          <w:trHeight w:val="522" w:hRule="atLeast"/>
          <w:tblCellSpacing w:w="0" w:type="dxa"/>
          <w:jc w:val="center"/>
        </w:trPr>
        <w:tc>
          <w:tcPr>
            <w:tcW w:w="562" w:type="dxa"/>
            <w:vMerge w:val="continue"/>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tc>
        <w:tc>
          <w:tcPr>
            <w:tcW w:w="644" w:type="dxa"/>
            <w:vMerge w:val="continue"/>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tc>
        <w:tc>
          <w:tcPr>
            <w:tcW w:w="562" w:type="dxa"/>
            <w:vMerge w:val="continue"/>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tc>
        <w:tc>
          <w:tcPr>
            <w:tcW w:w="855" w:type="dxa"/>
            <w:vMerge w:val="continue"/>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pPr>
              <w:pStyle w:val="4"/>
              <w:widowControl/>
              <w:wordWrap w:val="0"/>
              <w:spacing w:beforeAutospacing="1"/>
              <w:rPr>
                <w:rFonts w:ascii="宋体" w:eastAsia="宋体" w:cs="宋体"/>
                <w:color w:val="000000" w:themeColor="text1"/>
                <w:szCs w:val="24"/>
              </w:rPr>
            </w:pPr>
          </w:p>
        </w:tc>
        <w:tc>
          <w:tcPr>
            <w:tcW w:w="2382" w:type="dxa"/>
            <w:vMerge w:val="restart"/>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pPr>
              <w:pStyle w:val="4"/>
              <w:widowControl/>
              <w:wordWrap w:val="0"/>
              <w:spacing w:beforeAutospacing="1"/>
              <w:rPr>
                <w:rFonts w:ascii="宋体" w:eastAsia="宋体" w:cs="宋体"/>
                <w:color w:val="000000" w:themeColor="text1"/>
                <w:szCs w:val="24"/>
              </w:rPr>
            </w:pPr>
            <w:r>
              <w:rPr>
                <w:rFonts w:ascii="宋体" w:eastAsia="宋体" w:cs="宋体"/>
                <w:color w:val="000000" w:themeColor="text1"/>
                <w:szCs w:val="24"/>
              </w:rPr>
              <w:t>代理机构在广西建筑市场监管与诚信信息一体化平台中录入的企业一级注册造价师、注册监理工程师、一级注册建造师人数（同一人同时具备多项注册执业资格，按一人计）</w:t>
            </w:r>
          </w:p>
        </w:tc>
        <w:tc>
          <w:tcPr>
            <w:tcW w:w="2643" w:type="dxa"/>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pPr>
              <w:pStyle w:val="4"/>
              <w:widowControl/>
              <w:wordWrap w:val="0"/>
              <w:spacing w:beforeAutospacing="1"/>
              <w:rPr>
                <w:rFonts w:ascii="宋体" w:eastAsia="宋体" w:cs="宋体"/>
                <w:color w:val="000000" w:themeColor="text1"/>
                <w:szCs w:val="24"/>
              </w:rPr>
            </w:pPr>
            <w:r>
              <w:rPr>
                <w:rFonts w:ascii="宋体" w:eastAsia="宋体" w:cs="宋体"/>
                <w:color w:val="000000" w:themeColor="text1"/>
                <w:szCs w:val="24"/>
              </w:rPr>
              <w:t>10人及以上</w:t>
            </w:r>
          </w:p>
        </w:tc>
        <w:tc>
          <w:tcPr>
            <w:tcW w:w="923" w:type="dxa"/>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pPr>
              <w:pStyle w:val="4"/>
              <w:widowControl/>
              <w:wordWrap w:val="0"/>
              <w:spacing w:beforeAutospacing="1"/>
              <w:rPr>
                <w:rFonts w:ascii="宋体" w:eastAsia="宋体" w:cs="宋体"/>
                <w:color w:val="000000" w:themeColor="text1"/>
                <w:szCs w:val="24"/>
              </w:rPr>
            </w:pPr>
            <w:r>
              <w:rPr>
                <w:rFonts w:ascii="宋体" w:eastAsia="宋体" w:cs="宋体"/>
                <w:color w:val="000000" w:themeColor="text1"/>
                <w:szCs w:val="24"/>
              </w:rPr>
              <w:t>4</w:t>
            </w:r>
          </w:p>
        </w:tc>
      </w:tr>
      <w:tr>
        <w:tblPrEx>
          <w:tblBorders>
            <w:top w:val="single" w:color="CCCCCC" w:sz="6" w:space="0"/>
            <w:left w:val="single" w:color="CCCCCC" w:sz="6" w:space="0"/>
            <w:bottom w:val="single" w:color="CCCCCC" w:sz="6" w:space="0"/>
            <w:right w:val="single" w:color="CCCCCC" w:sz="6" w:space="0"/>
            <w:insideH w:val="outset" w:color="auto" w:sz="6" w:space="0"/>
            <w:insideV w:val="outset" w:color="auto" w:sz="6" w:space="0"/>
          </w:tblBorders>
          <w:tblCellMar>
            <w:top w:w="105" w:type="dxa"/>
            <w:left w:w="105" w:type="dxa"/>
            <w:bottom w:w="105" w:type="dxa"/>
            <w:right w:w="105" w:type="dxa"/>
          </w:tblCellMar>
        </w:tblPrEx>
        <w:trPr>
          <w:trHeight w:val="475" w:hRule="atLeast"/>
          <w:tblCellSpacing w:w="0" w:type="dxa"/>
          <w:jc w:val="center"/>
        </w:trPr>
        <w:tc>
          <w:tcPr>
            <w:tcW w:w="562" w:type="dxa"/>
            <w:vMerge w:val="continue"/>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tc>
        <w:tc>
          <w:tcPr>
            <w:tcW w:w="644" w:type="dxa"/>
            <w:vMerge w:val="continue"/>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tc>
        <w:tc>
          <w:tcPr>
            <w:tcW w:w="562" w:type="dxa"/>
            <w:vMerge w:val="continue"/>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tc>
        <w:tc>
          <w:tcPr>
            <w:tcW w:w="855" w:type="dxa"/>
            <w:vMerge w:val="continue"/>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pPr>
              <w:pStyle w:val="4"/>
              <w:widowControl/>
              <w:wordWrap w:val="0"/>
              <w:spacing w:beforeAutospacing="1"/>
              <w:rPr>
                <w:rFonts w:ascii="宋体" w:eastAsia="宋体" w:cs="宋体"/>
                <w:color w:val="000000" w:themeColor="text1"/>
                <w:szCs w:val="24"/>
              </w:rPr>
            </w:pPr>
          </w:p>
        </w:tc>
        <w:tc>
          <w:tcPr>
            <w:tcW w:w="2382" w:type="dxa"/>
            <w:vMerge w:val="continue"/>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pPr>
              <w:pStyle w:val="4"/>
              <w:widowControl/>
              <w:wordWrap w:val="0"/>
              <w:spacing w:beforeAutospacing="1"/>
              <w:rPr>
                <w:rFonts w:ascii="宋体" w:eastAsia="宋体" w:cs="宋体"/>
                <w:color w:val="000000" w:themeColor="text1"/>
                <w:szCs w:val="24"/>
              </w:rPr>
            </w:pPr>
          </w:p>
        </w:tc>
        <w:tc>
          <w:tcPr>
            <w:tcW w:w="2643" w:type="dxa"/>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pPr>
              <w:pStyle w:val="4"/>
              <w:widowControl/>
              <w:wordWrap w:val="0"/>
              <w:spacing w:beforeAutospacing="1"/>
              <w:rPr>
                <w:rFonts w:ascii="宋体" w:eastAsia="宋体" w:cs="宋体"/>
                <w:color w:val="000000" w:themeColor="text1"/>
                <w:szCs w:val="24"/>
              </w:rPr>
            </w:pPr>
            <w:r>
              <w:rPr>
                <w:rFonts w:ascii="宋体" w:eastAsia="宋体" w:cs="宋体"/>
                <w:color w:val="000000" w:themeColor="text1"/>
                <w:szCs w:val="24"/>
              </w:rPr>
              <w:t>5～9人</w:t>
            </w:r>
          </w:p>
        </w:tc>
        <w:tc>
          <w:tcPr>
            <w:tcW w:w="923" w:type="dxa"/>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pPr>
              <w:pStyle w:val="4"/>
              <w:widowControl/>
              <w:wordWrap w:val="0"/>
              <w:spacing w:beforeAutospacing="1"/>
              <w:rPr>
                <w:rFonts w:ascii="宋体" w:eastAsia="宋体" w:cs="宋体"/>
                <w:color w:val="000000" w:themeColor="text1"/>
                <w:szCs w:val="24"/>
              </w:rPr>
            </w:pPr>
            <w:r>
              <w:rPr>
                <w:rFonts w:ascii="宋体" w:eastAsia="宋体" w:cs="宋体"/>
                <w:color w:val="000000" w:themeColor="text1"/>
                <w:szCs w:val="24"/>
              </w:rPr>
              <w:t>3</w:t>
            </w:r>
          </w:p>
        </w:tc>
      </w:tr>
      <w:tr>
        <w:tblPrEx>
          <w:tblBorders>
            <w:top w:val="single" w:color="CCCCCC" w:sz="6" w:space="0"/>
            <w:left w:val="single" w:color="CCCCCC" w:sz="6" w:space="0"/>
            <w:bottom w:val="single" w:color="CCCCCC" w:sz="6" w:space="0"/>
            <w:right w:val="single" w:color="CCCCCC" w:sz="6" w:space="0"/>
            <w:insideH w:val="outset" w:color="auto" w:sz="6" w:space="0"/>
            <w:insideV w:val="outset" w:color="auto" w:sz="6" w:space="0"/>
          </w:tblBorders>
          <w:tblCellMar>
            <w:top w:w="105" w:type="dxa"/>
            <w:left w:w="105" w:type="dxa"/>
            <w:bottom w:w="105" w:type="dxa"/>
            <w:right w:w="105" w:type="dxa"/>
          </w:tblCellMar>
        </w:tblPrEx>
        <w:trPr>
          <w:trHeight w:val="466" w:hRule="atLeast"/>
          <w:tblCellSpacing w:w="0" w:type="dxa"/>
          <w:jc w:val="center"/>
        </w:trPr>
        <w:tc>
          <w:tcPr>
            <w:tcW w:w="562" w:type="dxa"/>
            <w:vMerge w:val="continue"/>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tc>
        <w:tc>
          <w:tcPr>
            <w:tcW w:w="644" w:type="dxa"/>
            <w:vMerge w:val="continue"/>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tc>
        <w:tc>
          <w:tcPr>
            <w:tcW w:w="562" w:type="dxa"/>
            <w:vMerge w:val="continue"/>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tc>
        <w:tc>
          <w:tcPr>
            <w:tcW w:w="855" w:type="dxa"/>
            <w:vMerge w:val="continue"/>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pPr>
              <w:pStyle w:val="4"/>
              <w:widowControl/>
              <w:wordWrap w:val="0"/>
              <w:spacing w:beforeAutospacing="1"/>
              <w:rPr>
                <w:rFonts w:ascii="宋体" w:eastAsia="宋体" w:cs="宋体"/>
                <w:color w:val="000000" w:themeColor="text1"/>
                <w:szCs w:val="24"/>
              </w:rPr>
            </w:pPr>
          </w:p>
        </w:tc>
        <w:tc>
          <w:tcPr>
            <w:tcW w:w="2382" w:type="dxa"/>
            <w:vMerge w:val="continue"/>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pPr>
              <w:pStyle w:val="4"/>
              <w:widowControl/>
              <w:wordWrap w:val="0"/>
              <w:spacing w:beforeAutospacing="1"/>
              <w:rPr>
                <w:rFonts w:ascii="宋体" w:eastAsia="宋体" w:cs="宋体"/>
                <w:color w:val="000000" w:themeColor="text1"/>
                <w:szCs w:val="24"/>
              </w:rPr>
            </w:pPr>
          </w:p>
        </w:tc>
        <w:tc>
          <w:tcPr>
            <w:tcW w:w="2643" w:type="dxa"/>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pPr>
              <w:pStyle w:val="4"/>
              <w:widowControl/>
              <w:wordWrap w:val="0"/>
              <w:spacing w:beforeAutospacing="1"/>
              <w:rPr>
                <w:rFonts w:ascii="宋体" w:eastAsia="宋体" w:cs="宋体"/>
                <w:color w:val="000000" w:themeColor="text1"/>
                <w:szCs w:val="24"/>
              </w:rPr>
            </w:pPr>
            <w:r>
              <w:rPr>
                <w:rFonts w:ascii="宋体" w:eastAsia="宋体" w:cs="宋体"/>
                <w:color w:val="000000" w:themeColor="text1"/>
                <w:szCs w:val="24"/>
              </w:rPr>
              <w:t>1～4人</w:t>
            </w:r>
          </w:p>
        </w:tc>
        <w:tc>
          <w:tcPr>
            <w:tcW w:w="923" w:type="dxa"/>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pPr>
              <w:pStyle w:val="4"/>
              <w:widowControl/>
              <w:wordWrap w:val="0"/>
              <w:spacing w:beforeAutospacing="1"/>
              <w:rPr>
                <w:rFonts w:ascii="宋体" w:eastAsia="宋体" w:cs="宋体"/>
                <w:color w:val="000000" w:themeColor="text1"/>
                <w:szCs w:val="24"/>
              </w:rPr>
            </w:pPr>
            <w:r>
              <w:rPr>
                <w:rFonts w:ascii="宋体" w:eastAsia="宋体" w:cs="宋体"/>
                <w:color w:val="000000" w:themeColor="text1"/>
                <w:szCs w:val="24"/>
              </w:rPr>
              <w:t>1</w:t>
            </w:r>
          </w:p>
        </w:tc>
      </w:tr>
      <w:tr>
        <w:tblPrEx>
          <w:tblBorders>
            <w:top w:val="single" w:color="CCCCCC" w:sz="6" w:space="0"/>
            <w:left w:val="single" w:color="CCCCCC" w:sz="6" w:space="0"/>
            <w:bottom w:val="single" w:color="CCCCCC" w:sz="6" w:space="0"/>
            <w:right w:val="single" w:color="CCCCCC" w:sz="6" w:space="0"/>
            <w:insideH w:val="outset" w:color="auto" w:sz="6" w:space="0"/>
            <w:insideV w:val="outset" w:color="auto" w:sz="6" w:space="0"/>
          </w:tblBorders>
          <w:tblCellMar>
            <w:top w:w="105" w:type="dxa"/>
            <w:left w:w="105" w:type="dxa"/>
            <w:bottom w:w="105" w:type="dxa"/>
            <w:right w:w="105" w:type="dxa"/>
          </w:tblCellMar>
        </w:tblPrEx>
        <w:trPr>
          <w:trHeight w:val="522" w:hRule="atLeast"/>
          <w:tblCellSpacing w:w="0" w:type="dxa"/>
          <w:jc w:val="center"/>
        </w:trPr>
        <w:tc>
          <w:tcPr>
            <w:tcW w:w="562" w:type="dxa"/>
            <w:vMerge w:val="continue"/>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tc>
        <w:tc>
          <w:tcPr>
            <w:tcW w:w="644" w:type="dxa"/>
            <w:vMerge w:val="continue"/>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tc>
        <w:tc>
          <w:tcPr>
            <w:tcW w:w="562" w:type="dxa"/>
            <w:vMerge w:val="continue"/>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tc>
        <w:tc>
          <w:tcPr>
            <w:tcW w:w="855" w:type="dxa"/>
            <w:vMerge w:val="continue"/>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pPr>
              <w:pStyle w:val="4"/>
              <w:widowControl/>
              <w:wordWrap w:val="0"/>
              <w:spacing w:beforeAutospacing="1"/>
              <w:rPr>
                <w:rFonts w:ascii="宋体" w:eastAsia="宋体" w:cs="宋体"/>
                <w:color w:val="000000" w:themeColor="text1"/>
                <w:szCs w:val="24"/>
              </w:rPr>
            </w:pPr>
          </w:p>
        </w:tc>
        <w:tc>
          <w:tcPr>
            <w:tcW w:w="2382" w:type="dxa"/>
            <w:vMerge w:val="continue"/>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pPr>
              <w:pStyle w:val="4"/>
              <w:widowControl/>
              <w:wordWrap w:val="0"/>
              <w:spacing w:beforeAutospacing="1"/>
              <w:rPr>
                <w:rFonts w:ascii="宋体" w:eastAsia="宋体" w:cs="宋体"/>
                <w:color w:val="000000" w:themeColor="text1"/>
                <w:szCs w:val="24"/>
              </w:rPr>
            </w:pPr>
          </w:p>
        </w:tc>
        <w:tc>
          <w:tcPr>
            <w:tcW w:w="2643" w:type="dxa"/>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pPr>
              <w:pStyle w:val="4"/>
              <w:widowControl/>
              <w:wordWrap w:val="0"/>
              <w:spacing w:beforeAutospacing="1"/>
              <w:rPr>
                <w:rFonts w:ascii="宋体" w:eastAsia="宋体" w:cs="宋体"/>
                <w:color w:val="000000" w:themeColor="text1"/>
                <w:szCs w:val="24"/>
              </w:rPr>
            </w:pPr>
            <w:r>
              <w:rPr>
                <w:rFonts w:ascii="宋体" w:eastAsia="宋体" w:cs="宋体"/>
                <w:color w:val="000000" w:themeColor="text1"/>
                <w:szCs w:val="24"/>
              </w:rPr>
              <w:t>0人</w:t>
            </w:r>
          </w:p>
        </w:tc>
        <w:tc>
          <w:tcPr>
            <w:tcW w:w="923" w:type="dxa"/>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pPr>
              <w:pStyle w:val="4"/>
              <w:widowControl/>
              <w:wordWrap w:val="0"/>
              <w:spacing w:beforeAutospacing="1"/>
              <w:rPr>
                <w:rFonts w:ascii="宋体" w:eastAsia="宋体" w:cs="宋体"/>
                <w:color w:val="000000" w:themeColor="text1"/>
                <w:szCs w:val="24"/>
              </w:rPr>
            </w:pPr>
            <w:r>
              <w:rPr>
                <w:rFonts w:ascii="宋体" w:eastAsia="宋体" w:cs="宋体"/>
                <w:color w:val="000000" w:themeColor="text1"/>
                <w:szCs w:val="24"/>
              </w:rPr>
              <w:t>0</w:t>
            </w:r>
          </w:p>
        </w:tc>
      </w:tr>
      <w:tr>
        <w:tblPrEx>
          <w:tblBorders>
            <w:top w:val="single" w:color="CCCCCC" w:sz="6" w:space="0"/>
            <w:left w:val="single" w:color="CCCCCC" w:sz="6" w:space="0"/>
            <w:bottom w:val="single" w:color="CCCCCC" w:sz="6" w:space="0"/>
            <w:right w:val="single" w:color="CCCCCC" w:sz="6" w:space="0"/>
            <w:insideH w:val="outset" w:color="auto" w:sz="6" w:space="0"/>
            <w:insideV w:val="outset" w:color="auto" w:sz="6" w:space="0"/>
          </w:tblBorders>
          <w:tblCellMar>
            <w:top w:w="105" w:type="dxa"/>
            <w:left w:w="105" w:type="dxa"/>
            <w:bottom w:w="105" w:type="dxa"/>
            <w:right w:w="105" w:type="dxa"/>
          </w:tblCellMar>
        </w:tblPrEx>
        <w:trPr>
          <w:trHeight w:val="503" w:hRule="atLeast"/>
          <w:tblCellSpacing w:w="0" w:type="dxa"/>
          <w:jc w:val="center"/>
        </w:trPr>
        <w:tc>
          <w:tcPr>
            <w:tcW w:w="562" w:type="dxa"/>
            <w:vMerge w:val="continue"/>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tc>
        <w:tc>
          <w:tcPr>
            <w:tcW w:w="644" w:type="dxa"/>
            <w:vMerge w:val="continue"/>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tc>
        <w:tc>
          <w:tcPr>
            <w:tcW w:w="562" w:type="dxa"/>
            <w:vMerge w:val="restart"/>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pPr>
              <w:pStyle w:val="4"/>
              <w:widowControl/>
              <w:wordWrap w:val="0"/>
              <w:spacing w:beforeAutospacing="1" w:afterAutospacing="1"/>
              <w:jc w:val="center"/>
              <w:rPr>
                <w:rFonts w:ascii="Times New Roman" w:hAnsi="Times New Roman" w:eastAsia="微软雅黑" w:cs="Times New Roman"/>
                <w:szCs w:val="24"/>
              </w:rPr>
            </w:pPr>
            <w:r>
              <w:rPr>
                <w:rFonts w:ascii="Times New Roman" w:hAnsi="Times New Roman" w:eastAsia="微软雅黑" w:cs="Times New Roman"/>
                <w:szCs w:val="24"/>
              </w:rPr>
              <w:t>4</w:t>
            </w:r>
          </w:p>
        </w:tc>
        <w:tc>
          <w:tcPr>
            <w:tcW w:w="855" w:type="dxa"/>
            <w:vMerge w:val="restart"/>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pPr>
              <w:pStyle w:val="4"/>
              <w:widowControl/>
              <w:wordWrap w:val="0"/>
              <w:spacing w:beforeAutospacing="1"/>
              <w:rPr>
                <w:rFonts w:ascii="宋体" w:eastAsia="宋体" w:cs="宋体"/>
                <w:color w:val="000000" w:themeColor="text1"/>
                <w:szCs w:val="24"/>
              </w:rPr>
            </w:pPr>
            <w:r>
              <w:rPr>
                <w:rFonts w:ascii="宋体" w:eastAsia="宋体" w:cs="宋体"/>
                <w:color w:val="000000" w:themeColor="text1"/>
                <w:szCs w:val="24"/>
              </w:rPr>
              <w:t>纳</w:t>
            </w:r>
          </w:p>
          <w:p>
            <w:pPr>
              <w:pStyle w:val="4"/>
              <w:widowControl/>
              <w:wordWrap w:val="0"/>
              <w:spacing w:beforeAutospacing="1"/>
              <w:rPr>
                <w:rFonts w:ascii="宋体" w:eastAsia="宋体" w:cs="宋体"/>
                <w:color w:val="000000" w:themeColor="text1"/>
                <w:szCs w:val="24"/>
              </w:rPr>
            </w:pPr>
            <w:r>
              <w:rPr>
                <w:rFonts w:ascii="宋体" w:eastAsia="宋体" w:cs="宋体"/>
                <w:color w:val="000000" w:themeColor="text1"/>
                <w:szCs w:val="24"/>
              </w:rPr>
              <w:t>税</w:t>
            </w:r>
          </w:p>
          <w:p>
            <w:pPr>
              <w:pStyle w:val="4"/>
              <w:widowControl/>
              <w:wordWrap w:val="0"/>
              <w:spacing w:beforeAutospacing="1"/>
              <w:rPr>
                <w:rFonts w:ascii="宋体" w:eastAsia="宋体" w:cs="宋体"/>
                <w:color w:val="000000" w:themeColor="text1"/>
                <w:szCs w:val="24"/>
              </w:rPr>
            </w:pPr>
            <w:r>
              <w:rPr>
                <w:rFonts w:ascii="宋体" w:eastAsia="宋体" w:cs="宋体"/>
                <w:color w:val="000000" w:themeColor="text1"/>
                <w:szCs w:val="24"/>
              </w:rPr>
              <w:t>状</w:t>
            </w:r>
          </w:p>
          <w:p>
            <w:pPr>
              <w:pStyle w:val="4"/>
              <w:widowControl/>
              <w:wordWrap w:val="0"/>
              <w:spacing w:beforeAutospacing="1"/>
              <w:rPr>
                <w:rFonts w:ascii="宋体" w:eastAsia="宋体" w:cs="宋体"/>
                <w:color w:val="000000" w:themeColor="text1"/>
                <w:szCs w:val="24"/>
              </w:rPr>
            </w:pPr>
            <w:r>
              <w:rPr>
                <w:rFonts w:ascii="宋体" w:eastAsia="宋体" w:cs="宋体"/>
                <w:color w:val="000000" w:themeColor="text1"/>
                <w:szCs w:val="24"/>
              </w:rPr>
              <w:t>况</w:t>
            </w:r>
          </w:p>
        </w:tc>
        <w:tc>
          <w:tcPr>
            <w:tcW w:w="2382" w:type="dxa"/>
            <w:vMerge w:val="restart"/>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pPr>
              <w:pStyle w:val="4"/>
              <w:widowControl/>
              <w:wordWrap w:val="0"/>
              <w:spacing w:beforeAutospacing="1"/>
              <w:rPr>
                <w:rFonts w:ascii="宋体" w:eastAsia="宋体" w:cs="宋体"/>
                <w:color w:val="000000" w:themeColor="text1"/>
                <w:szCs w:val="24"/>
              </w:rPr>
            </w:pPr>
            <w:r>
              <w:rPr>
                <w:rFonts w:ascii="宋体" w:eastAsia="宋体" w:cs="宋体"/>
                <w:color w:val="000000" w:themeColor="text1"/>
                <w:szCs w:val="24"/>
              </w:rPr>
              <w:t>企业上年度的纳税信用等级</w:t>
            </w:r>
          </w:p>
        </w:tc>
        <w:tc>
          <w:tcPr>
            <w:tcW w:w="2643" w:type="dxa"/>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pPr>
              <w:pStyle w:val="4"/>
              <w:widowControl/>
              <w:wordWrap w:val="0"/>
              <w:spacing w:beforeAutospacing="1"/>
              <w:rPr>
                <w:rFonts w:ascii="宋体" w:eastAsia="宋体" w:cs="宋体"/>
                <w:color w:val="000000" w:themeColor="text1"/>
                <w:szCs w:val="24"/>
              </w:rPr>
            </w:pPr>
            <w:r>
              <w:rPr>
                <w:rFonts w:ascii="宋体" w:eastAsia="宋体" w:cs="宋体"/>
                <w:color w:val="000000" w:themeColor="text1"/>
                <w:szCs w:val="24"/>
              </w:rPr>
              <w:t>A级</w:t>
            </w:r>
          </w:p>
        </w:tc>
        <w:tc>
          <w:tcPr>
            <w:tcW w:w="923" w:type="dxa"/>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pPr>
              <w:pStyle w:val="4"/>
              <w:widowControl/>
              <w:wordWrap w:val="0"/>
              <w:spacing w:beforeAutospacing="1"/>
              <w:rPr>
                <w:rFonts w:ascii="宋体" w:eastAsia="宋体" w:cs="宋体"/>
                <w:color w:val="000000" w:themeColor="text1"/>
                <w:szCs w:val="24"/>
              </w:rPr>
            </w:pPr>
            <w:r>
              <w:rPr>
                <w:rFonts w:ascii="宋体" w:eastAsia="宋体" w:cs="宋体"/>
                <w:color w:val="000000" w:themeColor="text1"/>
                <w:szCs w:val="24"/>
              </w:rPr>
              <w:t>4</w:t>
            </w:r>
          </w:p>
        </w:tc>
      </w:tr>
      <w:tr>
        <w:tblPrEx>
          <w:tblBorders>
            <w:top w:val="single" w:color="CCCCCC" w:sz="6" w:space="0"/>
            <w:left w:val="single" w:color="CCCCCC" w:sz="6" w:space="0"/>
            <w:bottom w:val="single" w:color="CCCCCC" w:sz="6" w:space="0"/>
            <w:right w:val="single" w:color="CCCCCC" w:sz="6" w:space="0"/>
            <w:insideH w:val="outset" w:color="auto" w:sz="6" w:space="0"/>
            <w:insideV w:val="outset" w:color="auto" w:sz="6" w:space="0"/>
          </w:tblBorders>
          <w:tblCellMar>
            <w:top w:w="105" w:type="dxa"/>
            <w:left w:w="105" w:type="dxa"/>
            <w:bottom w:w="105" w:type="dxa"/>
            <w:right w:w="105" w:type="dxa"/>
          </w:tblCellMar>
        </w:tblPrEx>
        <w:trPr>
          <w:trHeight w:val="578" w:hRule="atLeast"/>
          <w:tblCellSpacing w:w="0" w:type="dxa"/>
          <w:jc w:val="center"/>
        </w:trPr>
        <w:tc>
          <w:tcPr>
            <w:tcW w:w="562" w:type="dxa"/>
            <w:vMerge w:val="continue"/>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tc>
        <w:tc>
          <w:tcPr>
            <w:tcW w:w="644" w:type="dxa"/>
            <w:vMerge w:val="continue"/>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tc>
        <w:tc>
          <w:tcPr>
            <w:tcW w:w="562" w:type="dxa"/>
            <w:vMerge w:val="continue"/>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tc>
        <w:tc>
          <w:tcPr>
            <w:tcW w:w="855" w:type="dxa"/>
            <w:vMerge w:val="continue"/>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pPr>
              <w:pStyle w:val="4"/>
              <w:widowControl/>
              <w:wordWrap w:val="0"/>
              <w:spacing w:beforeAutospacing="1"/>
              <w:rPr>
                <w:rFonts w:ascii="宋体" w:eastAsia="宋体" w:cs="宋体"/>
                <w:color w:val="000000" w:themeColor="text1"/>
                <w:szCs w:val="24"/>
              </w:rPr>
            </w:pPr>
          </w:p>
        </w:tc>
        <w:tc>
          <w:tcPr>
            <w:tcW w:w="2382" w:type="dxa"/>
            <w:vMerge w:val="continue"/>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pPr>
              <w:pStyle w:val="4"/>
              <w:widowControl/>
              <w:wordWrap w:val="0"/>
              <w:spacing w:beforeAutospacing="1"/>
              <w:rPr>
                <w:rFonts w:ascii="宋体" w:eastAsia="宋体" w:cs="宋体"/>
                <w:color w:val="000000" w:themeColor="text1"/>
                <w:szCs w:val="24"/>
              </w:rPr>
            </w:pPr>
          </w:p>
        </w:tc>
        <w:tc>
          <w:tcPr>
            <w:tcW w:w="2643" w:type="dxa"/>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pPr>
              <w:pStyle w:val="4"/>
              <w:widowControl/>
              <w:wordWrap w:val="0"/>
              <w:spacing w:beforeAutospacing="1"/>
              <w:rPr>
                <w:rFonts w:ascii="宋体" w:eastAsia="宋体" w:cs="宋体"/>
                <w:color w:val="000000" w:themeColor="text1"/>
                <w:szCs w:val="24"/>
              </w:rPr>
            </w:pPr>
            <w:r>
              <w:rPr>
                <w:rFonts w:ascii="宋体" w:eastAsia="宋体" w:cs="宋体"/>
                <w:color w:val="000000" w:themeColor="text1"/>
                <w:szCs w:val="24"/>
              </w:rPr>
              <w:t>B级</w:t>
            </w:r>
          </w:p>
        </w:tc>
        <w:tc>
          <w:tcPr>
            <w:tcW w:w="923" w:type="dxa"/>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pPr>
              <w:pStyle w:val="4"/>
              <w:widowControl/>
              <w:wordWrap w:val="0"/>
              <w:spacing w:beforeAutospacing="1"/>
              <w:rPr>
                <w:rFonts w:ascii="宋体" w:eastAsia="宋体" w:cs="宋体"/>
                <w:color w:val="000000" w:themeColor="text1"/>
                <w:szCs w:val="24"/>
              </w:rPr>
            </w:pPr>
            <w:r>
              <w:rPr>
                <w:rFonts w:ascii="宋体" w:eastAsia="宋体" w:cs="宋体"/>
                <w:color w:val="000000" w:themeColor="text1"/>
                <w:szCs w:val="24"/>
              </w:rPr>
              <w:t>3</w:t>
            </w:r>
          </w:p>
        </w:tc>
      </w:tr>
      <w:tr>
        <w:tblPrEx>
          <w:tblBorders>
            <w:top w:val="single" w:color="CCCCCC" w:sz="6" w:space="0"/>
            <w:left w:val="single" w:color="CCCCCC" w:sz="6" w:space="0"/>
            <w:bottom w:val="single" w:color="CCCCCC" w:sz="6" w:space="0"/>
            <w:right w:val="single" w:color="CCCCCC" w:sz="6" w:space="0"/>
            <w:insideH w:val="outset" w:color="auto" w:sz="6" w:space="0"/>
            <w:insideV w:val="outset" w:color="auto" w:sz="6" w:space="0"/>
          </w:tblBorders>
          <w:tblCellMar>
            <w:top w:w="105" w:type="dxa"/>
            <w:left w:w="105" w:type="dxa"/>
            <w:bottom w:w="105" w:type="dxa"/>
            <w:right w:w="105" w:type="dxa"/>
          </w:tblCellMar>
        </w:tblPrEx>
        <w:trPr>
          <w:tblCellSpacing w:w="0" w:type="dxa"/>
          <w:jc w:val="center"/>
        </w:trPr>
        <w:tc>
          <w:tcPr>
            <w:tcW w:w="562" w:type="dxa"/>
            <w:vMerge w:val="continue"/>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tc>
        <w:tc>
          <w:tcPr>
            <w:tcW w:w="644" w:type="dxa"/>
            <w:vMerge w:val="continue"/>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tc>
        <w:tc>
          <w:tcPr>
            <w:tcW w:w="562" w:type="dxa"/>
            <w:vMerge w:val="continue"/>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tc>
        <w:tc>
          <w:tcPr>
            <w:tcW w:w="855" w:type="dxa"/>
            <w:vMerge w:val="continue"/>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pPr>
              <w:pStyle w:val="4"/>
              <w:widowControl/>
              <w:wordWrap w:val="0"/>
              <w:spacing w:beforeAutospacing="1"/>
              <w:rPr>
                <w:rFonts w:ascii="宋体" w:eastAsia="宋体" w:cs="宋体"/>
                <w:color w:val="000000" w:themeColor="text1"/>
                <w:szCs w:val="24"/>
              </w:rPr>
            </w:pPr>
          </w:p>
        </w:tc>
        <w:tc>
          <w:tcPr>
            <w:tcW w:w="2382" w:type="dxa"/>
            <w:vMerge w:val="continue"/>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pPr>
              <w:pStyle w:val="4"/>
              <w:widowControl/>
              <w:wordWrap w:val="0"/>
              <w:spacing w:beforeAutospacing="1"/>
              <w:rPr>
                <w:rFonts w:ascii="宋体" w:eastAsia="宋体" w:cs="宋体"/>
                <w:color w:val="000000" w:themeColor="text1"/>
                <w:szCs w:val="24"/>
              </w:rPr>
            </w:pPr>
          </w:p>
        </w:tc>
        <w:tc>
          <w:tcPr>
            <w:tcW w:w="2643" w:type="dxa"/>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pPr>
              <w:pStyle w:val="4"/>
              <w:widowControl/>
              <w:wordWrap w:val="0"/>
              <w:spacing w:beforeAutospacing="1"/>
              <w:rPr>
                <w:rFonts w:ascii="宋体" w:eastAsia="宋体" w:cs="宋体"/>
                <w:color w:val="000000" w:themeColor="text1"/>
                <w:szCs w:val="24"/>
              </w:rPr>
            </w:pPr>
            <w:r>
              <w:rPr>
                <w:rFonts w:ascii="宋体" w:eastAsia="宋体" w:cs="宋体"/>
                <w:color w:val="000000" w:themeColor="text1"/>
                <w:szCs w:val="24"/>
              </w:rPr>
              <w:t>M级</w:t>
            </w:r>
          </w:p>
        </w:tc>
        <w:tc>
          <w:tcPr>
            <w:tcW w:w="923" w:type="dxa"/>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pPr>
              <w:pStyle w:val="4"/>
              <w:widowControl/>
              <w:wordWrap w:val="0"/>
              <w:spacing w:beforeAutospacing="1"/>
              <w:rPr>
                <w:rFonts w:ascii="宋体" w:eastAsia="宋体" w:cs="宋体"/>
                <w:color w:val="000000" w:themeColor="text1"/>
                <w:szCs w:val="24"/>
              </w:rPr>
            </w:pPr>
            <w:r>
              <w:rPr>
                <w:rFonts w:ascii="宋体" w:eastAsia="宋体" w:cs="宋体"/>
                <w:color w:val="000000" w:themeColor="text1"/>
                <w:szCs w:val="24"/>
              </w:rPr>
              <w:t>2</w:t>
            </w:r>
          </w:p>
        </w:tc>
      </w:tr>
      <w:tr>
        <w:tblPrEx>
          <w:tblBorders>
            <w:top w:val="single" w:color="CCCCCC" w:sz="6" w:space="0"/>
            <w:left w:val="single" w:color="CCCCCC" w:sz="6" w:space="0"/>
            <w:bottom w:val="single" w:color="CCCCCC" w:sz="6" w:space="0"/>
            <w:right w:val="single" w:color="CCCCCC" w:sz="6" w:space="0"/>
            <w:insideH w:val="outset" w:color="auto" w:sz="6" w:space="0"/>
            <w:insideV w:val="outset" w:color="auto" w:sz="6" w:space="0"/>
          </w:tblBorders>
          <w:tblCellMar>
            <w:top w:w="105" w:type="dxa"/>
            <w:left w:w="105" w:type="dxa"/>
            <w:bottom w:w="105" w:type="dxa"/>
            <w:right w:w="105" w:type="dxa"/>
          </w:tblCellMar>
        </w:tblPrEx>
        <w:trPr>
          <w:trHeight w:val="439" w:hRule="atLeast"/>
          <w:tblCellSpacing w:w="0" w:type="dxa"/>
          <w:jc w:val="center"/>
        </w:trPr>
        <w:tc>
          <w:tcPr>
            <w:tcW w:w="562" w:type="dxa"/>
            <w:vMerge w:val="continue"/>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tc>
        <w:tc>
          <w:tcPr>
            <w:tcW w:w="644" w:type="dxa"/>
            <w:vMerge w:val="continue"/>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tc>
        <w:tc>
          <w:tcPr>
            <w:tcW w:w="562" w:type="dxa"/>
            <w:vMerge w:val="continue"/>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tc>
        <w:tc>
          <w:tcPr>
            <w:tcW w:w="855" w:type="dxa"/>
            <w:vMerge w:val="continue"/>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pPr>
              <w:pStyle w:val="4"/>
              <w:widowControl/>
              <w:wordWrap w:val="0"/>
              <w:spacing w:beforeAutospacing="1"/>
              <w:rPr>
                <w:rFonts w:ascii="宋体" w:eastAsia="宋体" w:cs="宋体"/>
                <w:color w:val="000000" w:themeColor="text1"/>
                <w:szCs w:val="24"/>
              </w:rPr>
            </w:pPr>
          </w:p>
        </w:tc>
        <w:tc>
          <w:tcPr>
            <w:tcW w:w="2382" w:type="dxa"/>
            <w:vMerge w:val="continue"/>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pPr>
              <w:pStyle w:val="4"/>
              <w:widowControl/>
              <w:wordWrap w:val="0"/>
              <w:spacing w:beforeAutospacing="1"/>
              <w:rPr>
                <w:rFonts w:ascii="宋体" w:eastAsia="宋体" w:cs="宋体"/>
                <w:color w:val="000000" w:themeColor="text1"/>
                <w:szCs w:val="24"/>
              </w:rPr>
            </w:pPr>
          </w:p>
        </w:tc>
        <w:tc>
          <w:tcPr>
            <w:tcW w:w="2643" w:type="dxa"/>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pPr>
              <w:pStyle w:val="4"/>
              <w:widowControl/>
              <w:wordWrap w:val="0"/>
              <w:spacing w:beforeAutospacing="1"/>
              <w:rPr>
                <w:rFonts w:ascii="宋体" w:eastAsia="宋体" w:cs="宋体"/>
                <w:color w:val="000000" w:themeColor="text1"/>
                <w:szCs w:val="24"/>
              </w:rPr>
            </w:pPr>
            <w:r>
              <w:rPr>
                <w:rFonts w:ascii="宋体" w:eastAsia="宋体" w:cs="宋体"/>
                <w:color w:val="000000" w:themeColor="text1"/>
                <w:szCs w:val="24"/>
              </w:rPr>
              <w:t>C级</w:t>
            </w:r>
          </w:p>
        </w:tc>
        <w:tc>
          <w:tcPr>
            <w:tcW w:w="923" w:type="dxa"/>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pPr>
              <w:pStyle w:val="4"/>
              <w:widowControl/>
              <w:wordWrap w:val="0"/>
              <w:spacing w:beforeAutospacing="1"/>
              <w:rPr>
                <w:rFonts w:ascii="宋体" w:eastAsia="宋体" w:cs="宋体"/>
                <w:color w:val="000000" w:themeColor="text1"/>
                <w:szCs w:val="24"/>
              </w:rPr>
            </w:pPr>
            <w:r>
              <w:rPr>
                <w:rFonts w:ascii="宋体" w:eastAsia="宋体" w:cs="宋体"/>
                <w:color w:val="000000" w:themeColor="text1"/>
                <w:szCs w:val="24"/>
              </w:rPr>
              <w:t>1</w:t>
            </w:r>
          </w:p>
        </w:tc>
      </w:tr>
      <w:tr>
        <w:tblPrEx>
          <w:tblBorders>
            <w:top w:val="single" w:color="CCCCCC" w:sz="6" w:space="0"/>
            <w:left w:val="single" w:color="CCCCCC" w:sz="6" w:space="0"/>
            <w:bottom w:val="single" w:color="CCCCCC" w:sz="6" w:space="0"/>
            <w:right w:val="single" w:color="CCCCCC" w:sz="6" w:space="0"/>
            <w:insideH w:val="outset" w:color="auto" w:sz="6" w:space="0"/>
            <w:insideV w:val="outset" w:color="auto" w:sz="6" w:space="0"/>
          </w:tblBorders>
          <w:tblCellMar>
            <w:top w:w="105" w:type="dxa"/>
            <w:left w:w="105" w:type="dxa"/>
            <w:bottom w:w="105" w:type="dxa"/>
            <w:right w:w="105" w:type="dxa"/>
          </w:tblCellMar>
        </w:tblPrEx>
        <w:trPr>
          <w:trHeight w:val="409" w:hRule="atLeast"/>
          <w:tblCellSpacing w:w="0" w:type="dxa"/>
          <w:jc w:val="center"/>
        </w:trPr>
        <w:tc>
          <w:tcPr>
            <w:tcW w:w="562" w:type="dxa"/>
            <w:vMerge w:val="continue"/>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tc>
        <w:tc>
          <w:tcPr>
            <w:tcW w:w="644" w:type="dxa"/>
            <w:vMerge w:val="continue"/>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tc>
        <w:tc>
          <w:tcPr>
            <w:tcW w:w="562" w:type="dxa"/>
            <w:vMerge w:val="continue"/>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tc>
        <w:tc>
          <w:tcPr>
            <w:tcW w:w="855" w:type="dxa"/>
            <w:vMerge w:val="continue"/>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pPr>
              <w:pStyle w:val="4"/>
              <w:widowControl/>
              <w:wordWrap w:val="0"/>
              <w:spacing w:beforeAutospacing="1"/>
              <w:rPr>
                <w:rFonts w:ascii="宋体" w:eastAsia="宋体" w:cs="宋体"/>
                <w:color w:val="000000" w:themeColor="text1"/>
                <w:szCs w:val="24"/>
              </w:rPr>
            </w:pPr>
          </w:p>
        </w:tc>
        <w:tc>
          <w:tcPr>
            <w:tcW w:w="2382" w:type="dxa"/>
            <w:vMerge w:val="continue"/>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pPr>
              <w:pStyle w:val="4"/>
              <w:widowControl/>
              <w:wordWrap w:val="0"/>
              <w:spacing w:beforeAutospacing="1"/>
              <w:rPr>
                <w:rFonts w:ascii="宋体" w:eastAsia="宋体" w:cs="宋体"/>
                <w:color w:val="000000" w:themeColor="text1"/>
                <w:szCs w:val="24"/>
              </w:rPr>
            </w:pPr>
          </w:p>
        </w:tc>
        <w:tc>
          <w:tcPr>
            <w:tcW w:w="2643" w:type="dxa"/>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pPr>
              <w:pStyle w:val="4"/>
              <w:widowControl/>
              <w:wordWrap w:val="0"/>
              <w:spacing w:beforeAutospacing="1"/>
              <w:rPr>
                <w:rFonts w:ascii="宋体" w:eastAsia="宋体" w:cs="宋体"/>
                <w:color w:val="000000" w:themeColor="text1"/>
                <w:szCs w:val="24"/>
              </w:rPr>
            </w:pPr>
            <w:r>
              <w:rPr>
                <w:rFonts w:ascii="宋体" w:eastAsia="宋体" w:cs="宋体"/>
                <w:color w:val="000000" w:themeColor="text1"/>
                <w:szCs w:val="24"/>
              </w:rPr>
              <w:t>D级</w:t>
            </w:r>
          </w:p>
        </w:tc>
        <w:tc>
          <w:tcPr>
            <w:tcW w:w="923" w:type="dxa"/>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pPr>
              <w:pStyle w:val="4"/>
              <w:widowControl/>
              <w:wordWrap w:val="0"/>
              <w:spacing w:beforeAutospacing="1"/>
              <w:rPr>
                <w:rFonts w:ascii="宋体" w:eastAsia="宋体" w:cs="宋体"/>
                <w:color w:val="000000" w:themeColor="text1"/>
                <w:szCs w:val="24"/>
              </w:rPr>
            </w:pPr>
            <w:r>
              <w:rPr>
                <w:rFonts w:ascii="宋体" w:eastAsia="宋体" w:cs="宋体"/>
                <w:color w:val="000000" w:themeColor="text1"/>
                <w:szCs w:val="24"/>
              </w:rPr>
              <w:t>0</w:t>
            </w:r>
          </w:p>
        </w:tc>
      </w:tr>
      <w:tr>
        <w:tblPrEx>
          <w:tblBorders>
            <w:top w:val="single" w:color="CCCCCC" w:sz="6" w:space="0"/>
            <w:left w:val="single" w:color="CCCCCC" w:sz="6" w:space="0"/>
            <w:bottom w:val="single" w:color="CCCCCC" w:sz="6" w:space="0"/>
            <w:right w:val="single" w:color="CCCCCC" w:sz="6" w:space="0"/>
            <w:insideH w:val="outset" w:color="auto" w:sz="6" w:space="0"/>
            <w:insideV w:val="outset" w:color="auto" w:sz="6" w:space="0"/>
          </w:tblBorders>
          <w:tblCellMar>
            <w:top w:w="105" w:type="dxa"/>
            <w:left w:w="105" w:type="dxa"/>
            <w:bottom w:w="105" w:type="dxa"/>
            <w:right w:w="105" w:type="dxa"/>
          </w:tblCellMar>
        </w:tblPrEx>
        <w:trPr>
          <w:tblCellSpacing w:w="0" w:type="dxa"/>
          <w:jc w:val="center"/>
        </w:trPr>
        <w:tc>
          <w:tcPr>
            <w:tcW w:w="562" w:type="dxa"/>
            <w:vMerge w:val="continue"/>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tc>
        <w:tc>
          <w:tcPr>
            <w:tcW w:w="644" w:type="dxa"/>
            <w:vMerge w:val="continue"/>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tc>
        <w:tc>
          <w:tcPr>
            <w:tcW w:w="562" w:type="dxa"/>
            <w:vMerge w:val="restart"/>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pPr>
              <w:pStyle w:val="4"/>
              <w:widowControl/>
              <w:wordWrap w:val="0"/>
              <w:spacing w:beforeAutospacing="1" w:afterAutospacing="1"/>
              <w:jc w:val="center"/>
              <w:rPr>
                <w:rFonts w:ascii="Times New Roman" w:hAnsi="Times New Roman" w:eastAsia="微软雅黑" w:cs="Times New Roman"/>
                <w:szCs w:val="24"/>
              </w:rPr>
            </w:pPr>
            <w:r>
              <w:rPr>
                <w:rFonts w:hint="eastAsia" w:ascii="Times New Roman" w:hAnsi="Times New Roman" w:eastAsia="微软雅黑" w:cs="Times New Roman"/>
                <w:szCs w:val="24"/>
              </w:rPr>
              <w:t>4</w:t>
            </w:r>
          </w:p>
        </w:tc>
        <w:tc>
          <w:tcPr>
            <w:tcW w:w="855" w:type="dxa"/>
            <w:vMerge w:val="restart"/>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pPr>
              <w:pStyle w:val="4"/>
              <w:widowControl/>
              <w:wordWrap w:val="0"/>
              <w:spacing w:beforeAutospacing="1"/>
              <w:rPr>
                <w:rFonts w:ascii="宋体" w:eastAsia="宋体" w:cs="宋体"/>
                <w:color w:val="000000" w:themeColor="text1"/>
                <w:szCs w:val="24"/>
              </w:rPr>
            </w:pPr>
          </w:p>
          <w:p>
            <w:pPr>
              <w:pStyle w:val="4"/>
              <w:widowControl/>
              <w:wordWrap w:val="0"/>
              <w:spacing w:beforeAutospacing="1"/>
              <w:rPr>
                <w:rFonts w:ascii="宋体" w:eastAsia="宋体" w:cs="宋体"/>
                <w:color w:val="000000" w:themeColor="text1"/>
                <w:szCs w:val="24"/>
              </w:rPr>
            </w:pPr>
          </w:p>
          <w:p>
            <w:pPr>
              <w:pStyle w:val="4"/>
              <w:widowControl/>
              <w:wordWrap w:val="0"/>
              <w:spacing w:beforeAutospacing="1"/>
              <w:rPr>
                <w:rFonts w:ascii="宋体" w:eastAsia="宋体" w:cs="宋体"/>
                <w:color w:val="000000" w:themeColor="text1"/>
                <w:szCs w:val="24"/>
              </w:rPr>
            </w:pPr>
            <w:r>
              <w:rPr>
                <w:rFonts w:hint="eastAsia" w:ascii="宋体" w:eastAsia="宋体" w:cs="宋体"/>
                <w:color w:val="000000" w:themeColor="text1"/>
                <w:szCs w:val="24"/>
              </w:rPr>
              <w:t>内</w:t>
            </w:r>
          </w:p>
          <w:p>
            <w:pPr>
              <w:pStyle w:val="4"/>
              <w:widowControl/>
              <w:wordWrap w:val="0"/>
              <w:spacing w:beforeAutospacing="1"/>
              <w:rPr>
                <w:rFonts w:ascii="宋体" w:eastAsia="宋体" w:cs="宋体"/>
                <w:color w:val="000000" w:themeColor="text1"/>
                <w:szCs w:val="24"/>
              </w:rPr>
            </w:pPr>
            <w:r>
              <w:rPr>
                <w:rFonts w:hint="eastAsia" w:ascii="宋体" w:eastAsia="宋体" w:cs="宋体"/>
                <w:color w:val="000000" w:themeColor="text1"/>
                <w:szCs w:val="24"/>
              </w:rPr>
              <w:t>部</w:t>
            </w:r>
          </w:p>
          <w:p>
            <w:pPr>
              <w:pStyle w:val="4"/>
              <w:widowControl/>
              <w:wordWrap w:val="0"/>
              <w:spacing w:beforeAutospacing="1"/>
              <w:rPr>
                <w:rFonts w:ascii="宋体" w:eastAsia="宋体" w:cs="宋体"/>
                <w:color w:val="000000" w:themeColor="text1"/>
                <w:szCs w:val="24"/>
              </w:rPr>
            </w:pPr>
            <w:r>
              <w:rPr>
                <w:rFonts w:hint="eastAsia" w:ascii="宋体" w:eastAsia="宋体" w:cs="宋体"/>
                <w:color w:val="000000" w:themeColor="text1"/>
                <w:szCs w:val="24"/>
              </w:rPr>
              <w:t>管</w:t>
            </w:r>
          </w:p>
          <w:p>
            <w:pPr>
              <w:pStyle w:val="4"/>
              <w:widowControl/>
              <w:wordWrap w:val="0"/>
              <w:spacing w:beforeAutospacing="1"/>
              <w:rPr>
                <w:rFonts w:ascii="宋体" w:eastAsia="宋体" w:cs="宋体"/>
                <w:color w:val="000000" w:themeColor="text1"/>
                <w:szCs w:val="24"/>
              </w:rPr>
            </w:pPr>
            <w:r>
              <w:rPr>
                <w:rFonts w:hint="eastAsia" w:ascii="宋体" w:eastAsia="宋体" w:cs="宋体"/>
                <w:color w:val="000000" w:themeColor="text1"/>
                <w:szCs w:val="24"/>
              </w:rPr>
              <w:t>理</w:t>
            </w:r>
          </w:p>
        </w:tc>
        <w:tc>
          <w:tcPr>
            <w:tcW w:w="2382" w:type="dxa"/>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pPr>
              <w:pStyle w:val="4"/>
              <w:widowControl/>
              <w:wordWrap w:val="0"/>
              <w:spacing w:beforeAutospacing="1"/>
              <w:rPr>
                <w:rFonts w:ascii="宋体" w:eastAsia="宋体" w:cs="宋体"/>
                <w:color w:val="000000" w:themeColor="text1"/>
                <w:szCs w:val="24"/>
              </w:rPr>
            </w:pPr>
            <w:r>
              <w:rPr>
                <w:rFonts w:hint="eastAsia" w:ascii="宋体" w:eastAsia="宋体" w:cs="宋体"/>
                <w:color w:val="000000" w:themeColor="text1"/>
                <w:szCs w:val="24"/>
              </w:rPr>
              <w:t>专用档案室照片、档案室管理制度、档案登记台账（至少保存前五年完整的档案）。</w:t>
            </w:r>
          </w:p>
        </w:tc>
        <w:tc>
          <w:tcPr>
            <w:tcW w:w="2643" w:type="dxa"/>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pPr>
              <w:pStyle w:val="4"/>
              <w:widowControl/>
              <w:wordWrap w:val="0"/>
              <w:spacing w:beforeAutospacing="1"/>
              <w:rPr>
                <w:rFonts w:ascii="宋体" w:eastAsia="宋体" w:cs="宋体"/>
                <w:color w:val="000000" w:themeColor="text1"/>
                <w:szCs w:val="24"/>
              </w:rPr>
            </w:pPr>
            <w:r>
              <w:rPr>
                <w:rFonts w:hint="eastAsia" w:ascii="宋体" w:eastAsia="宋体" w:cs="宋体"/>
                <w:color w:val="000000" w:themeColor="text1"/>
                <w:szCs w:val="24"/>
              </w:rPr>
              <w:t>有专用档案室、档案管理制度、档案登记台账，每项得0.3分，满分1分</w:t>
            </w:r>
          </w:p>
        </w:tc>
        <w:tc>
          <w:tcPr>
            <w:tcW w:w="923" w:type="dxa"/>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pPr>
              <w:pStyle w:val="4"/>
              <w:widowControl/>
              <w:wordWrap w:val="0"/>
              <w:spacing w:beforeAutospacing="1"/>
              <w:rPr>
                <w:rFonts w:ascii="宋体" w:eastAsia="宋体" w:cs="宋体"/>
                <w:color w:val="000000" w:themeColor="text1"/>
                <w:szCs w:val="24"/>
              </w:rPr>
            </w:pPr>
            <w:r>
              <w:rPr>
                <w:rFonts w:hint="eastAsia" w:ascii="宋体" w:eastAsia="宋体" w:cs="宋体"/>
                <w:color w:val="000000" w:themeColor="text1"/>
                <w:szCs w:val="24"/>
              </w:rPr>
              <w:t>1</w:t>
            </w:r>
          </w:p>
        </w:tc>
      </w:tr>
      <w:tr>
        <w:tblPrEx>
          <w:tblBorders>
            <w:top w:val="single" w:color="CCCCCC" w:sz="6" w:space="0"/>
            <w:left w:val="single" w:color="CCCCCC" w:sz="6" w:space="0"/>
            <w:bottom w:val="single" w:color="CCCCCC" w:sz="6" w:space="0"/>
            <w:right w:val="single" w:color="CCCCCC" w:sz="6" w:space="0"/>
            <w:insideH w:val="outset" w:color="auto" w:sz="6" w:space="0"/>
            <w:insideV w:val="outset" w:color="auto" w:sz="6" w:space="0"/>
          </w:tblBorders>
          <w:tblCellMar>
            <w:top w:w="105" w:type="dxa"/>
            <w:left w:w="105" w:type="dxa"/>
            <w:bottom w:w="105" w:type="dxa"/>
            <w:right w:w="105" w:type="dxa"/>
          </w:tblCellMar>
        </w:tblPrEx>
        <w:trPr>
          <w:tblCellSpacing w:w="0" w:type="dxa"/>
          <w:jc w:val="center"/>
        </w:trPr>
        <w:tc>
          <w:tcPr>
            <w:tcW w:w="562" w:type="dxa"/>
            <w:vMerge w:val="continue"/>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tc>
        <w:tc>
          <w:tcPr>
            <w:tcW w:w="644" w:type="dxa"/>
            <w:vMerge w:val="continue"/>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tc>
        <w:tc>
          <w:tcPr>
            <w:tcW w:w="562" w:type="dxa"/>
            <w:vMerge w:val="continue"/>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tc>
        <w:tc>
          <w:tcPr>
            <w:tcW w:w="855" w:type="dxa"/>
            <w:vMerge w:val="continue"/>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pPr>
              <w:pStyle w:val="4"/>
              <w:widowControl/>
              <w:wordWrap w:val="0"/>
              <w:spacing w:beforeAutospacing="1"/>
              <w:rPr>
                <w:rFonts w:ascii="宋体" w:eastAsia="宋体" w:cs="宋体"/>
                <w:color w:val="000000" w:themeColor="text1"/>
                <w:szCs w:val="24"/>
              </w:rPr>
            </w:pPr>
          </w:p>
        </w:tc>
        <w:tc>
          <w:tcPr>
            <w:tcW w:w="2382" w:type="dxa"/>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pPr>
              <w:pStyle w:val="4"/>
              <w:widowControl/>
              <w:wordWrap w:val="0"/>
              <w:spacing w:beforeAutospacing="1"/>
              <w:rPr>
                <w:rFonts w:ascii="宋体" w:eastAsia="宋体" w:cs="宋体"/>
                <w:color w:val="000000" w:themeColor="text1"/>
                <w:szCs w:val="24"/>
              </w:rPr>
            </w:pPr>
            <w:r>
              <w:rPr>
                <w:rFonts w:hint="eastAsia" w:ascii="宋体" w:eastAsia="宋体" w:cs="宋体"/>
                <w:color w:val="000000" w:themeColor="text1"/>
                <w:szCs w:val="24"/>
              </w:rPr>
              <w:t>业务培训</w:t>
            </w:r>
          </w:p>
        </w:tc>
        <w:tc>
          <w:tcPr>
            <w:tcW w:w="2643" w:type="dxa"/>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pPr>
              <w:pStyle w:val="4"/>
              <w:widowControl/>
              <w:wordWrap w:val="0"/>
              <w:spacing w:beforeAutospacing="1"/>
              <w:rPr>
                <w:rFonts w:ascii="宋体" w:eastAsia="宋体" w:cs="宋体"/>
                <w:color w:val="000000" w:themeColor="text1"/>
                <w:szCs w:val="24"/>
              </w:rPr>
            </w:pPr>
            <w:r>
              <w:rPr>
                <w:rFonts w:hint="eastAsia" w:ascii="宋体" w:eastAsia="宋体" w:cs="宋体"/>
                <w:color w:val="000000" w:themeColor="text1"/>
                <w:szCs w:val="24"/>
              </w:rPr>
              <w:t>“X”为企业招标从业人员上一年度参加监管部门和交易中心业务培训的次数（每个代理单位每次至少有3人参加，满分1分）；</w:t>
            </w:r>
          </w:p>
        </w:tc>
        <w:tc>
          <w:tcPr>
            <w:tcW w:w="923" w:type="dxa"/>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pPr>
              <w:pStyle w:val="4"/>
              <w:widowControl/>
              <w:wordWrap w:val="0"/>
              <w:spacing w:beforeAutospacing="1"/>
              <w:rPr>
                <w:rFonts w:ascii="宋体" w:eastAsia="宋体" w:cs="宋体"/>
                <w:color w:val="000000" w:themeColor="text1"/>
                <w:szCs w:val="24"/>
              </w:rPr>
            </w:pPr>
            <w:r>
              <w:rPr>
                <w:rFonts w:hint="eastAsia" w:ascii="宋体" w:eastAsia="宋体" w:cs="宋体"/>
                <w:color w:val="000000" w:themeColor="text1"/>
                <w:szCs w:val="24"/>
              </w:rPr>
              <w:t>0.5X</w:t>
            </w:r>
          </w:p>
        </w:tc>
      </w:tr>
      <w:tr>
        <w:tblPrEx>
          <w:tblBorders>
            <w:top w:val="single" w:color="CCCCCC" w:sz="6" w:space="0"/>
            <w:left w:val="single" w:color="CCCCCC" w:sz="6" w:space="0"/>
            <w:bottom w:val="single" w:color="CCCCCC" w:sz="6" w:space="0"/>
            <w:right w:val="single" w:color="CCCCCC" w:sz="6" w:space="0"/>
            <w:insideH w:val="outset" w:color="auto" w:sz="6" w:space="0"/>
            <w:insideV w:val="outset" w:color="auto" w:sz="6" w:space="0"/>
          </w:tblBorders>
          <w:tblCellMar>
            <w:top w:w="105" w:type="dxa"/>
            <w:left w:w="105" w:type="dxa"/>
            <w:bottom w:w="105" w:type="dxa"/>
            <w:right w:w="105" w:type="dxa"/>
          </w:tblCellMar>
        </w:tblPrEx>
        <w:trPr>
          <w:trHeight w:val="193" w:hRule="atLeast"/>
          <w:tblCellSpacing w:w="0" w:type="dxa"/>
          <w:jc w:val="center"/>
        </w:trPr>
        <w:tc>
          <w:tcPr>
            <w:tcW w:w="562" w:type="dxa"/>
            <w:vMerge w:val="restart"/>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pPr>
              <w:pStyle w:val="4"/>
              <w:widowControl/>
              <w:wordWrap w:val="0"/>
              <w:spacing w:beforeAutospacing="1" w:afterAutospacing="1"/>
              <w:jc w:val="center"/>
              <w:rPr>
                <w:rFonts w:ascii="Times New Roman" w:hAnsi="Times New Roman" w:eastAsia="微软雅黑" w:cs="Times New Roman"/>
                <w:szCs w:val="24"/>
              </w:rPr>
            </w:pPr>
          </w:p>
        </w:tc>
        <w:tc>
          <w:tcPr>
            <w:tcW w:w="644" w:type="dxa"/>
            <w:vMerge w:val="restart"/>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pPr>
              <w:pStyle w:val="4"/>
              <w:widowControl/>
              <w:wordWrap w:val="0"/>
              <w:spacing w:beforeAutospacing="1" w:afterAutospacing="1"/>
              <w:jc w:val="center"/>
              <w:rPr>
                <w:rFonts w:ascii="cursive" w:hAnsi="cursive" w:eastAsia="cursive" w:cs="cursive"/>
                <w:szCs w:val="24"/>
              </w:rPr>
            </w:pPr>
          </w:p>
        </w:tc>
        <w:tc>
          <w:tcPr>
            <w:tcW w:w="562" w:type="dxa"/>
            <w:vMerge w:val="continue"/>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tc>
        <w:tc>
          <w:tcPr>
            <w:tcW w:w="855" w:type="dxa"/>
            <w:vMerge w:val="continue"/>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tc>
        <w:tc>
          <w:tcPr>
            <w:tcW w:w="2382" w:type="dxa"/>
            <w:vMerge w:val="restart"/>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pPr>
              <w:pStyle w:val="4"/>
              <w:widowControl/>
              <w:wordWrap w:val="0"/>
              <w:spacing w:beforeAutospacing="1"/>
              <w:rPr>
                <w:rFonts w:ascii="宋体" w:eastAsia="宋体" w:cs="宋体"/>
                <w:color w:val="000000" w:themeColor="text1"/>
                <w:szCs w:val="24"/>
              </w:rPr>
            </w:pPr>
            <w:r>
              <w:rPr>
                <w:rFonts w:hint="eastAsia" w:ascii="宋体" w:eastAsia="宋体" w:cs="宋体"/>
                <w:color w:val="000000" w:themeColor="text1"/>
                <w:szCs w:val="24"/>
              </w:rPr>
              <w:t>本地服务能力（</w:t>
            </w:r>
            <w:r>
              <w:rPr>
                <w:rFonts w:ascii="宋体" w:eastAsia="宋体" w:cs="宋体"/>
                <w:color w:val="000000" w:themeColor="text1"/>
                <w:szCs w:val="24"/>
              </w:rPr>
              <w:t>一体化平台中录入</w:t>
            </w:r>
            <w:r>
              <w:rPr>
                <w:rFonts w:hint="eastAsia" w:ascii="宋体" w:eastAsia="宋体" w:cs="宋体"/>
                <w:color w:val="000000" w:themeColor="text1"/>
                <w:szCs w:val="24"/>
              </w:rPr>
              <w:t>的招标专职人员，自愿在柳州市建设工程招投标协会登记）</w:t>
            </w:r>
          </w:p>
          <w:p>
            <w:pPr>
              <w:pStyle w:val="4"/>
              <w:widowControl/>
              <w:wordWrap w:val="0"/>
              <w:spacing w:beforeAutospacing="1"/>
              <w:rPr>
                <w:rFonts w:ascii="宋体" w:eastAsia="宋体" w:cs="宋体"/>
                <w:color w:val="000000" w:themeColor="text1"/>
                <w:szCs w:val="24"/>
              </w:rPr>
            </w:pPr>
          </w:p>
        </w:tc>
        <w:tc>
          <w:tcPr>
            <w:tcW w:w="2643" w:type="dxa"/>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pPr>
              <w:pStyle w:val="4"/>
              <w:widowControl/>
              <w:wordWrap w:val="0"/>
              <w:spacing w:beforeAutospacing="1"/>
              <w:rPr>
                <w:rFonts w:ascii="宋体" w:eastAsia="宋体" w:cs="宋体"/>
                <w:color w:val="000000" w:themeColor="text1"/>
                <w:szCs w:val="24"/>
              </w:rPr>
            </w:pPr>
            <w:r>
              <w:rPr>
                <w:rFonts w:hint="eastAsia" w:ascii="宋体" w:eastAsia="宋体" w:cs="宋体"/>
                <w:color w:val="000000" w:themeColor="text1"/>
                <w:szCs w:val="24"/>
              </w:rPr>
              <w:t>15人以上</w:t>
            </w:r>
          </w:p>
        </w:tc>
        <w:tc>
          <w:tcPr>
            <w:tcW w:w="923" w:type="dxa"/>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pPr>
              <w:pStyle w:val="4"/>
              <w:widowControl/>
              <w:wordWrap w:val="0"/>
              <w:spacing w:beforeAutospacing="1"/>
              <w:rPr>
                <w:rFonts w:ascii="宋体" w:eastAsia="宋体" w:cs="宋体"/>
                <w:color w:val="000000" w:themeColor="text1"/>
                <w:szCs w:val="24"/>
              </w:rPr>
            </w:pPr>
            <w:r>
              <w:rPr>
                <w:rFonts w:hint="eastAsia" w:ascii="宋体" w:eastAsia="宋体" w:cs="宋体"/>
                <w:color w:val="000000" w:themeColor="text1"/>
                <w:szCs w:val="24"/>
              </w:rPr>
              <w:t>2</w:t>
            </w:r>
          </w:p>
        </w:tc>
      </w:tr>
      <w:tr>
        <w:tblPrEx>
          <w:tblBorders>
            <w:top w:val="single" w:color="CCCCCC" w:sz="6" w:space="0"/>
            <w:left w:val="single" w:color="CCCCCC" w:sz="6" w:space="0"/>
            <w:bottom w:val="single" w:color="CCCCCC" w:sz="6" w:space="0"/>
            <w:right w:val="single" w:color="CCCCCC" w:sz="6" w:space="0"/>
            <w:insideH w:val="outset" w:color="auto" w:sz="6" w:space="0"/>
            <w:insideV w:val="outset" w:color="auto" w:sz="6" w:space="0"/>
          </w:tblBorders>
          <w:tblCellMar>
            <w:top w:w="105" w:type="dxa"/>
            <w:left w:w="105" w:type="dxa"/>
            <w:bottom w:w="105" w:type="dxa"/>
            <w:right w:w="105" w:type="dxa"/>
          </w:tblCellMar>
        </w:tblPrEx>
        <w:trPr>
          <w:trHeight w:val="193" w:hRule="atLeast"/>
          <w:tblCellSpacing w:w="0" w:type="dxa"/>
          <w:jc w:val="center"/>
        </w:trPr>
        <w:tc>
          <w:tcPr>
            <w:tcW w:w="562" w:type="dxa"/>
            <w:vMerge w:val="continue"/>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tc>
        <w:tc>
          <w:tcPr>
            <w:tcW w:w="644" w:type="dxa"/>
            <w:vMerge w:val="continue"/>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tc>
        <w:tc>
          <w:tcPr>
            <w:tcW w:w="562" w:type="dxa"/>
            <w:vMerge w:val="continue"/>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tc>
        <w:tc>
          <w:tcPr>
            <w:tcW w:w="855" w:type="dxa"/>
            <w:vMerge w:val="continue"/>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tc>
        <w:tc>
          <w:tcPr>
            <w:tcW w:w="2382" w:type="dxa"/>
            <w:vMerge w:val="continue"/>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pPr>
              <w:pStyle w:val="4"/>
              <w:widowControl/>
              <w:wordWrap w:val="0"/>
              <w:spacing w:beforeAutospacing="1"/>
              <w:rPr>
                <w:rFonts w:ascii="宋体" w:eastAsia="宋体" w:cs="宋体"/>
                <w:color w:val="000000" w:themeColor="text1"/>
                <w:szCs w:val="24"/>
              </w:rPr>
            </w:pPr>
          </w:p>
        </w:tc>
        <w:tc>
          <w:tcPr>
            <w:tcW w:w="2643" w:type="dxa"/>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pPr>
              <w:pStyle w:val="4"/>
              <w:widowControl/>
              <w:wordWrap w:val="0"/>
              <w:spacing w:beforeAutospacing="1"/>
              <w:rPr>
                <w:rFonts w:ascii="宋体" w:eastAsia="宋体" w:cs="宋体"/>
                <w:color w:val="000000" w:themeColor="text1"/>
                <w:szCs w:val="24"/>
              </w:rPr>
            </w:pPr>
            <w:r>
              <w:rPr>
                <w:rFonts w:hint="eastAsia" w:ascii="宋体" w:eastAsia="宋体" w:cs="宋体"/>
                <w:color w:val="000000" w:themeColor="text1"/>
                <w:szCs w:val="24"/>
              </w:rPr>
              <w:t>11~15人</w:t>
            </w:r>
          </w:p>
        </w:tc>
        <w:tc>
          <w:tcPr>
            <w:tcW w:w="923" w:type="dxa"/>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pPr>
              <w:pStyle w:val="4"/>
              <w:widowControl/>
              <w:wordWrap w:val="0"/>
              <w:spacing w:beforeAutospacing="1"/>
              <w:rPr>
                <w:rFonts w:ascii="宋体" w:eastAsia="宋体" w:cs="宋体"/>
                <w:color w:val="000000" w:themeColor="text1"/>
                <w:szCs w:val="24"/>
              </w:rPr>
            </w:pPr>
            <w:r>
              <w:rPr>
                <w:rFonts w:hint="eastAsia" w:ascii="宋体" w:eastAsia="宋体" w:cs="宋体"/>
                <w:color w:val="000000" w:themeColor="text1"/>
                <w:szCs w:val="24"/>
              </w:rPr>
              <w:t>1</w:t>
            </w:r>
          </w:p>
        </w:tc>
      </w:tr>
      <w:tr>
        <w:tblPrEx>
          <w:tblBorders>
            <w:top w:val="single" w:color="CCCCCC" w:sz="6" w:space="0"/>
            <w:left w:val="single" w:color="CCCCCC" w:sz="6" w:space="0"/>
            <w:bottom w:val="single" w:color="CCCCCC" w:sz="6" w:space="0"/>
            <w:right w:val="single" w:color="CCCCCC" w:sz="6" w:space="0"/>
            <w:insideH w:val="outset" w:color="auto" w:sz="6" w:space="0"/>
            <w:insideV w:val="outset" w:color="auto" w:sz="6" w:space="0"/>
          </w:tblBorders>
          <w:tblCellMar>
            <w:top w:w="105" w:type="dxa"/>
            <w:left w:w="105" w:type="dxa"/>
            <w:bottom w:w="105" w:type="dxa"/>
            <w:right w:w="105" w:type="dxa"/>
          </w:tblCellMar>
        </w:tblPrEx>
        <w:trPr>
          <w:trHeight w:val="193" w:hRule="atLeast"/>
          <w:tblCellSpacing w:w="0" w:type="dxa"/>
          <w:jc w:val="center"/>
        </w:trPr>
        <w:tc>
          <w:tcPr>
            <w:tcW w:w="562" w:type="dxa"/>
            <w:vMerge w:val="continue"/>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tc>
        <w:tc>
          <w:tcPr>
            <w:tcW w:w="644" w:type="dxa"/>
            <w:vMerge w:val="continue"/>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tc>
        <w:tc>
          <w:tcPr>
            <w:tcW w:w="562" w:type="dxa"/>
            <w:vMerge w:val="continue"/>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tc>
        <w:tc>
          <w:tcPr>
            <w:tcW w:w="855" w:type="dxa"/>
            <w:vMerge w:val="continue"/>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tc>
        <w:tc>
          <w:tcPr>
            <w:tcW w:w="2382" w:type="dxa"/>
            <w:vMerge w:val="continue"/>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pPr>
              <w:pStyle w:val="4"/>
              <w:widowControl/>
              <w:wordWrap w:val="0"/>
              <w:spacing w:beforeAutospacing="1"/>
              <w:rPr>
                <w:rFonts w:ascii="宋体" w:eastAsia="宋体" w:cs="宋体"/>
                <w:color w:val="000000" w:themeColor="text1"/>
                <w:szCs w:val="24"/>
              </w:rPr>
            </w:pPr>
          </w:p>
        </w:tc>
        <w:tc>
          <w:tcPr>
            <w:tcW w:w="2643" w:type="dxa"/>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pPr>
              <w:pStyle w:val="4"/>
              <w:widowControl/>
              <w:wordWrap w:val="0"/>
              <w:spacing w:beforeAutospacing="1"/>
              <w:rPr>
                <w:rFonts w:ascii="宋体" w:eastAsia="宋体" w:cs="宋体"/>
                <w:color w:val="000000" w:themeColor="text1"/>
                <w:szCs w:val="24"/>
              </w:rPr>
            </w:pPr>
            <w:r>
              <w:rPr>
                <w:rFonts w:hint="eastAsia" w:ascii="宋体" w:eastAsia="宋体" w:cs="宋体"/>
                <w:color w:val="000000" w:themeColor="text1"/>
                <w:szCs w:val="24"/>
              </w:rPr>
              <w:t>6~10人</w:t>
            </w:r>
          </w:p>
        </w:tc>
        <w:tc>
          <w:tcPr>
            <w:tcW w:w="923" w:type="dxa"/>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pPr>
              <w:pStyle w:val="4"/>
              <w:widowControl/>
              <w:wordWrap w:val="0"/>
              <w:spacing w:beforeAutospacing="1"/>
              <w:rPr>
                <w:rFonts w:ascii="宋体" w:eastAsia="宋体" w:cs="宋体"/>
                <w:color w:val="000000" w:themeColor="text1"/>
                <w:szCs w:val="24"/>
              </w:rPr>
            </w:pPr>
            <w:r>
              <w:rPr>
                <w:rFonts w:hint="eastAsia" w:ascii="宋体" w:eastAsia="宋体" w:cs="宋体"/>
                <w:color w:val="000000" w:themeColor="text1"/>
                <w:szCs w:val="24"/>
              </w:rPr>
              <w:t>0.5</w:t>
            </w:r>
          </w:p>
        </w:tc>
      </w:tr>
      <w:tr>
        <w:tblPrEx>
          <w:tblBorders>
            <w:top w:val="single" w:color="CCCCCC" w:sz="6" w:space="0"/>
            <w:left w:val="single" w:color="CCCCCC" w:sz="6" w:space="0"/>
            <w:bottom w:val="single" w:color="CCCCCC" w:sz="6" w:space="0"/>
            <w:right w:val="single" w:color="CCCCCC" w:sz="6" w:space="0"/>
            <w:insideH w:val="outset" w:color="auto" w:sz="6" w:space="0"/>
            <w:insideV w:val="outset" w:color="auto" w:sz="6" w:space="0"/>
          </w:tblBorders>
          <w:tblCellMar>
            <w:top w:w="105" w:type="dxa"/>
            <w:left w:w="105" w:type="dxa"/>
            <w:bottom w:w="105" w:type="dxa"/>
            <w:right w:w="105" w:type="dxa"/>
          </w:tblCellMar>
        </w:tblPrEx>
        <w:trPr>
          <w:trHeight w:val="193" w:hRule="atLeast"/>
          <w:tblCellSpacing w:w="0" w:type="dxa"/>
          <w:jc w:val="center"/>
        </w:trPr>
        <w:tc>
          <w:tcPr>
            <w:tcW w:w="562" w:type="dxa"/>
            <w:vMerge w:val="continue"/>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tc>
        <w:tc>
          <w:tcPr>
            <w:tcW w:w="644" w:type="dxa"/>
            <w:vMerge w:val="continue"/>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tc>
        <w:tc>
          <w:tcPr>
            <w:tcW w:w="562" w:type="dxa"/>
            <w:vMerge w:val="continue"/>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tc>
        <w:tc>
          <w:tcPr>
            <w:tcW w:w="855" w:type="dxa"/>
            <w:vMerge w:val="continue"/>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tc>
        <w:tc>
          <w:tcPr>
            <w:tcW w:w="2382" w:type="dxa"/>
            <w:vMerge w:val="continue"/>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pPr>
              <w:pStyle w:val="4"/>
              <w:widowControl/>
              <w:wordWrap w:val="0"/>
              <w:spacing w:beforeAutospacing="1"/>
              <w:rPr>
                <w:rFonts w:ascii="宋体" w:eastAsia="宋体" w:cs="宋体"/>
                <w:color w:val="000000" w:themeColor="text1"/>
                <w:szCs w:val="24"/>
              </w:rPr>
            </w:pPr>
          </w:p>
        </w:tc>
        <w:tc>
          <w:tcPr>
            <w:tcW w:w="2643" w:type="dxa"/>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pPr>
              <w:pStyle w:val="4"/>
              <w:widowControl/>
              <w:wordWrap w:val="0"/>
              <w:spacing w:beforeAutospacing="1"/>
              <w:rPr>
                <w:rFonts w:ascii="宋体" w:eastAsia="宋体" w:cs="宋体"/>
                <w:color w:val="000000" w:themeColor="text1"/>
                <w:szCs w:val="24"/>
              </w:rPr>
            </w:pPr>
            <w:r>
              <w:rPr>
                <w:rFonts w:hint="eastAsia" w:ascii="宋体" w:eastAsia="宋体" w:cs="宋体"/>
                <w:color w:val="000000" w:themeColor="text1"/>
                <w:szCs w:val="24"/>
              </w:rPr>
              <w:t>5人及以下</w:t>
            </w:r>
          </w:p>
        </w:tc>
        <w:tc>
          <w:tcPr>
            <w:tcW w:w="923" w:type="dxa"/>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pPr>
              <w:pStyle w:val="4"/>
              <w:widowControl/>
              <w:wordWrap w:val="0"/>
              <w:spacing w:beforeAutospacing="1"/>
              <w:rPr>
                <w:rFonts w:ascii="宋体" w:eastAsia="宋体" w:cs="宋体"/>
                <w:color w:val="000000" w:themeColor="text1"/>
                <w:szCs w:val="24"/>
              </w:rPr>
            </w:pPr>
            <w:r>
              <w:rPr>
                <w:rFonts w:hint="eastAsia" w:ascii="宋体" w:eastAsia="宋体" w:cs="宋体"/>
                <w:color w:val="000000" w:themeColor="text1"/>
                <w:szCs w:val="24"/>
              </w:rPr>
              <w:t>0</w:t>
            </w:r>
          </w:p>
        </w:tc>
      </w:tr>
      <w:tr>
        <w:tblPrEx>
          <w:tblBorders>
            <w:top w:val="single" w:color="CCCCCC" w:sz="6" w:space="0"/>
            <w:left w:val="single" w:color="CCCCCC" w:sz="6" w:space="0"/>
            <w:bottom w:val="single" w:color="CCCCCC" w:sz="6" w:space="0"/>
            <w:right w:val="single" w:color="CCCCCC" w:sz="6" w:space="0"/>
            <w:insideH w:val="outset" w:color="auto" w:sz="6" w:space="0"/>
            <w:insideV w:val="outset" w:color="auto" w:sz="6" w:space="0"/>
          </w:tblBorders>
          <w:tblCellMar>
            <w:top w:w="105" w:type="dxa"/>
            <w:left w:w="105" w:type="dxa"/>
            <w:bottom w:w="105" w:type="dxa"/>
            <w:right w:w="105" w:type="dxa"/>
          </w:tblCellMar>
        </w:tblPrEx>
        <w:trPr>
          <w:trHeight w:val="493" w:hRule="atLeast"/>
          <w:tblCellSpacing w:w="0" w:type="dxa"/>
          <w:jc w:val="center"/>
        </w:trPr>
        <w:tc>
          <w:tcPr>
            <w:tcW w:w="562" w:type="dxa"/>
            <w:vMerge w:val="restart"/>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pPr>
              <w:pStyle w:val="4"/>
              <w:widowControl/>
              <w:wordWrap w:val="0"/>
              <w:spacing w:beforeAutospacing="1" w:afterAutospacing="1"/>
              <w:jc w:val="center"/>
              <w:rPr>
                <w:rFonts w:ascii="Times New Roman" w:hAnsi="Times New Roman" w:eastAsia="微软雅黑" w:cs="Times New Roman"/>
                <w:szCs w:val="24"/>
              </w:rPr>
            </w:pPr>
            <w:r>
              <w:rPr>
                <w:rFonts w:ascii="Times New Roman" w:hAnsi="Times New Roman" w:eastAsia="微软雅黑" w:cs="Times New Roman"/>
                <w:b/>
                <w:bCs/>
                <w:szCs w:val="24"/>
              </w:rPr>
              <w:t>2</w:t>
            </w:r>
          </w:p>
        </w:tc>
        <w:tc>
          <w:tcPr>
            <w:tcW w:w="644" w:type="dxa"/>
            <w:vMerge w:val="restart"/>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pPr>
              <w:pStyle w:val="4"/>
              <w:widowControl/>
              <w:wordWrap w:val="0"/>
              <w:spacing w:beforeAutospacing="1" w:afterAutospacing="1"/>
              <w:jc w:val="center"/>
              <w:rPr>
                <w:rFonts w:ascii="Times New Roman" w:hAnsi="Times New Roman" w:eastAsia="微软雅黑" w:cs="Times New Roman"/>
                <w:szCs w:val="24"/>
              </w:rPr>
            </w:pPr>
            <w:r>
              <w:rPr>
                <w:rFonts w:hint="eastAsia" w:ascii="方正大黑简体" w:eastAsia="方正大黑简体" w:cs="方正大黑简体"/>
                <w:szCs w:val="24"/>
              </w:rPr>
              <w:t>业绩情况</w:t>
            </w:r>
          </w:p>
        </w:tc>
        <w:tc>
          <w:tcPr>
            <w:tcW w:w="562" w:type="dxa"/>
            <w:vMerge w:val="restart"/>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pPr>
              <w:pStyle w:val="4"/>
              <w:widowControl/>
              <w:wordWrap w:val="0"/>
              <w:spacing w:beforeAutospacing="1" w:afterAutospacing="1"/>
              <w:jc w:val="center"/>
              <w:rPr>
                <w:rFonts w:ascii="Times New Roman" w:hAnsi="Times New Roman" w:eastAsia="微软雅黑" w:cs="Times New Roman"/>
                <w:szCs w:val="24"/>
              </w:rPr>
            </w:pPr>
            <w:r>
              <w:rPr>
                <w:rFonts w:hint="eastAsia" w:ascii="Times New Roman" w:hAnsi="Times New Roman" w:eastAsia="微软雅黑" w:cs="Times New Roman"/>
                <w:szCs w:val="24"/>
              </w:rPr>
              <w:t>5</w:t>
            </w:r>
          </w:p>
        </w:tc>
        <w:tc>
          <w:tcPr>
            <w:tcW w:w="855" w:type="dxa"/>
            <w:vMerge w:val="restart"/>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pPr>
              <w:pStyle w:val="4"/>
              <w:widowControl/>
              <w:wordWrap w:val="0"/>
              <w:spacing w:beforeAutospacing="1"/>
              <w:rPr>
                <w:rFonts w:ascii="宋体" w:eastAsia="宋体" w:cs="宋体"/>
                <w:color w:val="000000" w:themeColor="text1"/>
                <w:szCs w:val="24"/>
              </w:rPr>
            </w:pPr>
            <w:r>
              <w:rPr>
                <w:rFonts w:hint="eastAsia" w:ascii="宋体" w:eastAsia="宋体" w:cs="宋体"/>
                <w:color w:val="000000" w:themeColor="text1"/>
                <w:szCs w:val="24"/>
              </w:rPr>
              <w:t>在柳州上一年度累计代理招标项目宗数</w:t>
            </w:r>
          </w:p>
        </w:tc>
        <w:tc>
          <w:tcPr>
            <w:tcW w:w="2382" w:type="dxa"/>
            <w:vMerge w:val="restart"/>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pPr>
              <w:pStyle w:val="4"/>
              <w:widowControl/>
              <w:wordWrap w:val="0"/>
              <w:spacing w:beforeAutospacing="1"/>
              <w:rPr>
                <w:rFonts w:ascii="宋体" w:eastAsia="宋体" w:cs="宋体"/>
                <w:color w:val="000000" w:themeColor="text1"/>
                <w:szCs w:val="24"/>
              </w:rPr>
            </w:pPr>
            <w:r>
              <w:rPr>
                <w:rFonts w:hint="eastAsia" w:ascii="宋体" w:eastAsia="宋体" w:cs="宋体"/>
                <w:color w:val="000000" w:themeColor="text1"/>
                <w:szCs w:val="24"/>
              </w:rPr>
              <w:t>柳州市（含鹿寨县）公共资源交易中心提供的企业房建和市政工程建设项目代理招标项目汇总宗数排名</w:t>
            </w:r>
          </w:p>
        </w:tc>
        <w:tc>
          <w:tcPr>
            <w:tcW w:w="2643" w:type="dxa"/>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pPr>
              <w:pStyle w:val="4"/>
              <w:widowControl/>
              <w:wordWrap w:val="0"/>
              <w:spacing w:beforeAutospacing="1"/>
              <w:rPr>
                <w:rFonts w:ascii="宋体" w:eastAsia="宋体" w:cs="宋体"/>
                <w:color w:val="000000" w:themeColor="text1"/>
                <w:szCs w:val="24"/>
              </w:rPr>
            </w:pPr>
            <w:r>
              <w:rPr>
                <w:rFonts w:hint="eastAsia" w:ascii="宋体" w:eastAsia="宋体" w:cs="宋体"/>
                <w:color w:val="000000" w:themeColor="text1"/>
                <w:szCs w:val="24"/>
              </w:rPr>
              <w:t>1～5名</w:t>
            </w:r>
          </w:p>
        </w:tc>
        <w:tc>
          <w:tcPr>
            <w:tcW w:w="923" w:type="dxa"/>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pPr>
              <w:pStyle w:val="4"/>
              <w:widowControl/>
              <w:wordWrap w:val="0"/>
              <w:spacing w:beforeAutospacing="1"/>
              <w:rPr>
                <w:rFonts w:ascii="宋体" w:eastAsia="宋体" w:cs="宋体"/>
                <w:color w:val="000000" w:themeColor="text1"/>
                <w:szCs w:val="24"/>
              </w:rPr>
            </w:pPr>
            <w:r>
              <w:rPr>
                <w:rFonts w:hint="eastAsia" w:ascii="宋体" w:eastAsia="宋体" w:cs="宋体"/>
                <w:color w:val="000000" w:themeColor="text1"/>
                <w:szCs w:val="24"/>
              </w:rPr>
              <w:t>5</w:t>
            </w:r>
          </w:p>
        </w:tc>
      </w:tr>
      <w:tr>
        <w:tblPrEx>
          <w:tblBorders>
            <w:top w:val="single" w:color="CCCCCC" w:sz="6" w:space="0"/>
            <w:left w:val="single" w:color="CCCCCC" w:sz="6" w:space="0"/>
            <w:bottom w:val="single" w:color="CCCCCC" w:sz="6" w:space="0"/>
            <w:right w:val="single" w:color="CCCCCC" w:sz="6" w:space="0"/>
            <w:insideH w:val="outset" w:color="auto" w:sz="6" w:space="0"/>
            <w:insideV w:val="outset" w:color="auto" w:sz="6" w:space="0"/>
          </w:tblBorders>
          <w:tblCellMar>
            <w:top w:w="105" w:type="dxa"/>
            <w:left w:w="105" w:type="dxa"/>
            <w:bottom w:w="105" w:type="dxa"/>
            <w:right w:w="105" w:type="dxa"/>
          </w:tblCellMar>
        </w:tblPrEx>
        <w:trPr>
          <w:tblCellSpacing w:w="0" w:type="dxa"/>
          <w:jc w:val="center"/>
        </w:trPr>
        <w:tc>
          <w:tcPr>
            <w:tcW w:w="562" w:type="dxa"/>
            <w:vMerge w:val="continue"/>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tc>
        <w:tc>
          <w:tcPr>
            <w:tcW w:w="644" w:type="dxa"/>
            <w:vMerge w:val="continue"/>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tc>
        <w:tc>
          <w:tcPr>
            <w:tcW w:w="562" w:type="dxa"/>
            <w:vMerge w:val="continue"/>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tc>
        <w:tc>
          <w:tcPr>
            <w:tcW w:w="855" w:type="dxa"/>
            <w:vMerge w:val="continue"/>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pPr>
              <w:pStyle w:val="4"/>
              <w:widowControl/>
              <w:wordWrap w:val="0"/>
              <w:spacing w:beforeAutospacing="1"/>
              <w:rPr>
                <w:rFonts w:ascii="宋体" w:eastAsia="宋体" w:cs="宋体"/>
                <w:color w:val="000000" w:themeColor="text1"/>
                <w:szCs w:val="24"/>
              </w:rPr>
            </w:pPr>
          </w:p>
        </w:tc>
        <w:tc>
          <w:tcPr>
            <w:tcW w:w="2382" w:type="dxa"/>
            <w:vMerge w:val="continue"/>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pPr>
              <w:pStyle w:val="4"/>
              <w:widowControl/>
              <w:wordWrap w:val="0"/>
              <w:spacing w:beforeAutospacing="1"/>
              <w:rPr>
                <w:rFonts w:ascii="宋体" w:eastAsia="宋体" w:cs="宋体"/>
                <w:color w:val="000000" w:themeColor="text1"/>
                <w:szCs w:val="24"/>
              </w:rPr>
            </w:pPr>
          </w:p>
        </w:tc>
        <w:tc>
          <w:tcPr>
            <w:tcW w:w="2643" w:type="dxa"/>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pPr>
              <w:pStyle w:val="4"/>
              <w:widowControl/>
              <w:wordWrap w:val="0"/>
              <w:spacing w:beforeAutospacing="1"/>
              <w:rPr>
                <w:rFonts w:ascii="宋体" w:eastAsia="宋体" w:cs="宋体"/>
                <w:color w:val="000000" w:themeColor="text1"/>
                <w:szCs w:val="24"/>
              </w:rPr>
            </w:pPr>
            <w:r>
              <w:rPr>
                <w:rFonts w:hint="eastAsia" w:ascii="宋体" w:eastAsia="宋体" w:cs="宋体"/>
                <w:color w:val="000000" w:themeColor="text1"/>
                <w:szCs w:val="24"/>
              </w:rPr>
              <w:t>6～10名</w:t>
            </w:r>
          </w:p>
        </w:tc>
        <w:tc>
          <w:tcPr>
            <w:tcW w:w="923" w:type="dxa"/>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pPr>
              <w:pStyle w:val="4"/>
              <w:widowControl/>
              <w:wordWrap w:val="0"/>
              <w:spacing w:beforeAutospacing="1"/>
              <w:rPr>
                <w:rFonts w:ascii="宋体" w:eastAsia="宋体" w:cs="宋体"/>
                <w:color w:val="000000" w:themeColor="text1"/>
                <w:szCs w:val="24"/>
              </w:rPr>
            </w:pPr>
            <w:r>
              <w:rPr>
                <w:rFonts w:hint="eastAsia" w:ascii="宋体" w:eastAsia="宋体" w:cs="宋体"/>
                <w:color w:val="000000" w:themeColor="text1"/>
                <w:szCs w:val="24"/>
              </w:rPr>
              <w:t>4</w:t>
            </w:r>
          </w:p>
        </w:tc>
      </w:tr>
      <w:tr>
        <w:tblPrEx>
          <w:tblBorders>
            <w:top w:val="single" w:color="CCCCCC" w:sz="6" w:space="0"/>
            <w:left w:val="single" w:color="CCCCCC" w:sz="6" w:space="0"/>
            <w:bottom w:val="single" w:color="CCCCCC" w:sz="6" w:space="0"/>
            <w:right w:val="single" w:color="CCCCCC" w:sz="6" w:space="0"/>
            <w:insideH w:val="outset" w:color="auto" w:sz="6" w:space="0"/>
            <w:insideV w:val="outset" w:color="auto" w:sz="6" w:space="0"/>
          </w:tblBorders>
          <w:tblCellMar>
            <w:top w:w="105" w:type="dxa"/>
            <w:left w:w="105" w:type="dxa"/>
            <w:bottom w:w="105" w:type="dxa"/>
            <w:right w:w="105" w:type="dxa"/>
          </w:tblCellMar>
        </w:tblPrEx>
        <w:trPr>
          <w:tblCellSpacing w:w="0" w:type="dxa"/>
          <w:jc w:val="center"/>
        </w:trPr>
        <w:tc>
          <w:tcPr>
            <w:tcW w:w="562" w:type="dxa"/>
            <w:vMerge w:val="continue"/>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tc>
        <w:tc>
          <w:tcPr>
            <w:tcW w:w="644" w:type="dxa"/>
            <w:vMerge w:val="continue"/>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tc>
        <w:tc>
          <w:tcPr>
            <w:tcW w:w="562" w:type="dxa"/>
            <w:vMerge w:val="continue"/>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tc>
        <w:tc>
          <w:tcPr>
            <w:tcW w:w="855" w:type="dxa"/>
            <w:vMerge w:val="continue"/>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pPr>
              <w:pStyle w:val="4"/>
              <w:widowControl/>
              <w:wordWrap w:val="0"/>
              <w:spacing w:beforeAutospacing="1"/>
              <w:rPr>
                <w:rFonts w:ascii="宋体" w:eastAsia="宋体" w:cs="宋体"/>
                <w:color w:val="000000" w:themeColor="text1"/>
                <w:szCs w:val="24"/>
              </w:rPr>
            </w:pPr>
          </w:p>
        </w:tc>
        <w:tc>
          <w:tcPr>
            <w:tcW w:w="2382" w:type="dxa"/>
            <w:vMerge w:val="continue"/>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pPr>
              <w:pStyle w:val="4"/>
              <w:widowControl/>
              <w:wordWrap w:val="0"/>
              <w:spacing w:beforeAutospacing="1"/>
              <w:rPr>
                <w:rFonts w:ascii="宋体" w:eastAsia="宋体" w:cs="宋体"/>
                <w:color w:val="000000" w:themeColor="text1"/>
                <w:szCs w:val="24"/>
              </w:rPr>
            </w:pPr>
          </w:p>
        </w:tc>
        <w:tc>
          <w:tcPr>
            <w:tcW w:w="2643" w:type="dxa"/>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pPr>
              <w:pStyle w:val="4"/>
              <w:widowControl/>
              <w:wordWrap w:val="0"/>
              <w:spacing w:beforeAutospacing="1"/>
              <w:rPr>
                <w:rFonts w:ascii="宋体" w:eastAsia="宋体" w:cs="宋体"/>
                <w:color w:val="000000" w:themeColor="text1"/>
                <w:szCs w:val="24"/>
              </w:rPr>
            </w:pPr>
            <w:r>
              <w:rPr>
                <w:rFonts w:hint="eastAsia" w:ascii="宋体" w:eastAsia="宋体" w:cs="宋体"/>
                <w:color w:val="000000" w:themeColor="text1"/>
                <w:szCs w:val="24"/>
              </w:rPr>
              <w:t>11～15名</w:t>
            </w:r>
          </w:p>
        </w:tc>
        <w:tc>
          <w:tcPr>
            <w:tcW w:w="923" w:type="dxa"/>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pPr>
              <w:pStyle w:val="4"/>
              <w:widowControl/>
              <w:wordWrap w:val="0"/>
              <w:spacing w:beforeAutospacing="1"/>
              <w:rPr>
                <w:rFonts w:ascii="宋体" w:eastAsia="宋体" w:cs="宋体"/>
                <w:color w:val="000000" w:themeColor="text1"/>
                <w:szCs w:val="24"/>
              </w:rPr>
            </w:pPr>
            <w:r>
              <w:rPr>
                <w:rFonts w:hint="eastAsia" w:ascii="宋体" w:eastAsia="宋体" w:cs="宋体"/>
                <w:color w:val="000000" w:themeColor="text1"/>
                <w:szCs w:val="24"/>
              </w:rPr>
              <w:t>3</w:t>
            </w:r>
          </w:p>
        </w:tc>
      </w:tr>
      <w:tr>
        <w:tblPrEx>
          <w:tblBorders>
            <w:top w:val="single" w:color="CCCCCC" w:sz="6" w:space="0"/>
            <w:left w:val="single" w:color="CCCCCC" w:sz="6" w:space="0"/>
            <w:bottom w:val="single" w:color="CCCCCC" w:sz="6" w:space="0"/>
            <w:right w:val="single" w:color="CCCCCC" w:sz="6" w:space="0"/>
            <w:insideH w:val="outset" w:color="auto" w:sz="6" w:space="0"/>
            <w:insideV w:val="outset" w:color="auto" w:sz="6" w:space="0"/>
          </w:tblBorders>
          <w:tblCellMar>
            <w:top w:w="105" w:type="dxa"/>
            <w:left w:w="105" w:type="dxa"/>
            <w:bottom w:w="105" w:type="dxa"/>
            <w:right w:w="105" w:type="dxa"/>
          </w:tblCellMar>
        </w:tblPrEx>
        <w:trPr>
          <w:tblCellSpacing w:w="0" w:type="dxa"/>
          <w:jc w:val="center"/>
        </w:trPr>
        <w:tc>
          <w:tcPr>
            <w:tcW w:w="562" w:type="dxa"/>
            <w:vMerge w:val="continue"/>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tc>
        <w:tc>
          <w:tcPr>
            <w:tcW w:w="644" w:type="dxa"/>
            <w:vMerge w:val="continue"/>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tc>
        <w:tc>
          <w:tcPr>
            <w:tcW w:w="562" w:type="dxa"/>
            <w:vMerge w:val="continue"/>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tc>
        <w:tc>
          <w:tcPr>
            <w:tcW w:w="855" w:type="dxa"/>
            <w:vMerge w:val="continue"/>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pPr>
              <w:pStyle w:val="4"/>
              <w:widowControl/>
              <w:wordWrap w:val="0"/>
              <w:spacing w:beforeAutospacing="1"/>
              <w:rPr>
                <w:rFonts w:ascii="宋体" w:eastAsia="宋体" w:cs="宋体"/>
                <w:color w:val="000000" w:themeColor="text1"/>
                <w:szCs w:val="24"/>
              </w:rPr>
            </w:pPr>
          </w:p>
        </w:tc>
        <w:tc>
          <w:tcPr>
            <w:tcW w:w="2382" w:type="dxa"/>
            <w:vMerge w:val="continue"/>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pPr>
              <w:pStyle w:val="4"/>
              <w:widowControl/>
              <w:wordWrap w:val="0"/>
              <w:spacing w:beforeAutospacing="1"/>
              <w:rPr>
                <w:rFonts w:ascii="宋体" w:eastAsia="宋体" w:cs="宋体"/>
                <w:color w:val="000000" w:themeColor="text1"/>
                <w:szCs w:val="24"/>
              </w:rPr>
            </w:pPr>
          </w:p>
        </w:tc>
        <w:tc>
          <w:tcPr>
            <w:tcW w:w="2643" w:type="dxa"/>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pPr>
              <w:pStyle w:val="4"/>
              <w:widowControl/>
              <w:wordWrap w:val="0"/>
              <w:spacing w:beforeAutospacing="1"/>
              <w:rPr>
                <w:rFonts w:ascii="宋体" w:eastAsia="宋体" w:cs="宋体"/>
                <w:color w:val="000000" w:themeColor="text1"/>
                <w:szCs w:val="24"/>
              </w:rPr>
            </w:pPr>
            <w:r>
              <w:rPr>
                <w:rFonts w:hint="eastAsia" w:ascii="宋体" w:eastAsia="宋体" w:cs="宋体"/>
                <w:color w:val="000000" w:themeColor="text1"/>
                <w:szCs w:val="24"/>
              </w:rPr>
              <w:t>16-25名</w:t>
            </w:r>
          </w:p>
        </w:tc>
        <w:tc>
          <w:tcPr>
            <w:tcW w:w="923" w:type="dxa"/>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pPr>
              <w:pStyle w:val="4"/>
              <w:widowControl/>
              <w:wordWrap w:val="0"/>
              <w:spacing w:beforeAutospacing="1"/>
              <w:rPr>
                <w:rFonts w:ascii="宋体" w:eastAsia="宋体" w:cs="宋体"/>
                <w:color w:val="000000" w:themeColor="text1"/>
                <w:szCs w:val="24"/>
              </w:rPr>
            </w:pPr>
            <w:r>
              <w:rPr>
                <w:rFonts w:hint="eastAsia" w:ascii="宋体" w:eastAsia="宋体" w:cs="宋体"/>
                <w:color w:val="000000" w:themeColor="text1"/>
                <w:szCs w:val="24"/>
              </w:rPr>
              <w:t>2</w:t>
            </w:r>
          </w:p>
        </w:tc>
      </w:tr>
      <w:tr>
        <w:tblPrEx>
          <w:tblBorders>
            <w:top w:val="single" w:color="CCCCCC" w:sz="6" w:space="0"/>
            <w:left w:val="single" w:color="CCCCCC" w:sz="6" w:space="0"/>
            <w:bottom w:val="single" w:color="CCCCCC" w:sz="6" w:space="0"/>
            <w:right w:val="single" w:color="CCCCCC" w:sz="6" w:space="0"/>
            <w:insideH w:val="outset" w:color="auto" w:sz="6" w:space="0"/>
            <w:insideV w:val="outset" w:color="auto" w:sz="6" w:space="0"/>
          </w:tblBorders>
          <w:tblCellMar>
            <w:top w:w="105" w:type="dxa"/>
            <w:left w:w="105" w:type="dxa"/>
            <w:bottom w:w="105" w:type="dxa"/>
            <w:right w:w="105" w:type="dxa"/>
          </w:tblCellMar>
        </w:tblPrEx>
        <w:trPr>
          <w:trHeight w:val="258" w:hRule="atLeast"/>
          <w:tblCellSpacing w:w="0" w:type="dxa"/>
          <w:jc w:val="center"/>
        </w:trPr>
        <w:tc>
          <w:tcPr>
            <w:tcW w:w="562" w:type="dxa"/>
            <w:vMerge w:val="continue"/>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tc>
        <w:tc>
          <w:tcPr>
            <w:tcW w:w="644" w:type="dxa"/>
            <w:vMerge w:val="continue"/>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tc>
        <w:tc>
          <w:tcPr>
            <w:tcW w:w="562" w:type="dxa"/>
            <w:vMerge w:val="continue"/>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tc>
        <w:tc>
          <w:tcPr>
            <w:tcW w:w="855" w:type="dxa"/>
            <w:vMerge w:val="continue"/>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pPr>
              <w:pStyle w:val="4"/>
              <w:widowControl/>
              <w:wordWrap w:val="0"/>
              <w:spacing w:beforeAutospacing="1"/>
              <w:rPr>
                <w:rFonts w:ascii="宋体" w:eastAsia="宋体" w:cs="宋体"/>
                <w:color w:val="000000" w:themeColor="text1"/>
                <w:szCs w:val="24"/>
              </w:rPr>
            </w:pPr>
          </w:p>
        </w:tc>
        <w:tc>
          <w:tcPr>
            <w:tcW w:w="2382" w:type="dxa"/>
            <w:vMerge w:val="continue"/>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pPr>
              <w:pStyle w:val="4"/>
              <w:widowControl/>
              <w:wordWrap w:val="0"/>
              <w:spacing w:beforeAutospacing="1"/>
              <w:rPr>
                <w:rFonts w:ascii="宋体" w:eastAsia="宋体" w:cs="宋体"/>
                <w:color w:val="000000" w:themeColor="text1"/>
                <w:szCs w:val="24"/>
              </w:rPr>
            </w:pPr>
          </w:p>
        </w:tc>
        <w:tc>
          <w:tcPr>
            <w:tcW w:w="2643" w:type="dxa"/>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pPr>
              <w:pStyle w:val="4"/>
              <w:widowControl/>
              <w:wordWrap w:val="0"/>
              <w:spacing w:beforeAutospacing="1"/>
              <w:rPr>
                <w:rFonts w:ascii="宋体" w:eastAsia="宋体" w:cs="宋体"/>
                <w:color w:val="000000" w:themeColor="text1"/>
                <w:szCs w:val="24"/>
              </w:rPr>
            </w:pPr>
            <w:r>
              <w:rPr>
                <w:rFonts w:hint="eastAsia" w:ascii="宋体" w:eastAsia="宋体" w:cs="宋体"/>
                <w:color w:val="000000" w:themeColor="text1"/>
                <w:szCs w:val="24"/>
              </w:rPr>
              <w:t>26-35名</w:t>
            </w:r>
          </w:p>
        </w:tc>
        <w:tc>
          <w:tcPr>
            <w:tcW w:w="923" w:type="dxa"/>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pPr>
              <w:pStyle w:val="4"/>
              <w:widowControl/>
              <w:wordWrap w:val="0"/>
              <w:spacing w:beforeAutospacing="1"/>
              <w:rPr>
                <w:rFonts w:ascii="宋体" w:eastAsia="宋体" w:cs="宋体"/>
                <w:color w:val="000000" w:themeColor="text1"/>
                <w:szCs w:val="24"/>
              </w:rPr>
            </w:pPr>
            <w:r>
              <w:rPr>
                <w:rFonts w:hint="eastAsia" w:ascii="宋体" w:eastAsia="宋体" w:cs="宋体"/>
                <w:color w:val="000000" w:themeColor="text1"/>
                <w:szCs w:val="24"/>
              </w:rPr>
              <w:t>1</w:t>
            </w:r>
          </w:p>
        </w:tc>
      </w:tr>
      <w:tr>
        <w:tblPrEx>
          <w:tblBorders>
            <w:top w:val="single" w:color="CCCCCC" w:sz="6" w:space="0"/>
            <w:left w:val="single" w:color="CCCCCC" w:sz="6" w:space="0"/>
            <w:bottom w:val="single" w:color="CCCCCC" w:sz="6" w:space="0"/>
            <w:right w:val="single" w:color="CCCCCC" w:sz="6" w:space="0"/>
            <w:insideH w:val="outset" w:color="auto" w:sz="6" w:space="0"/>
            <w:insideV w:val="outset" w:color="auto" w:sz="6" w:space="0"/>
          </w:tblBorders>
          <w:tblCellMar>
            <w:top w:w="105" w:type="dxa"/>
            <w:left w:w="105" w:type="dxa"/>
            <w:bottom w:w="105" w:type="dxa"/>
            <w:right w:w="105" w:type="dxa"/>
          </w:tblCellMar>
        </w:tblPrEx>
        <w:trPr>
          <w:trHeight w:val="258" w:hRule="atLeast"/>
          <w:tblCellSpacing w:w="0" w:type="dxa"/>
          <w:jc w:val="center"/>
        </w:trPr>
        <w:tc>
          <w:tcPr>
            <w:tcW w:w="562" w:type="dxa"/>
            <w:vMerge w:val="continue"/>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tc>
        <w:tc>
          <w:tcPr>
            <w:tcW w:w="644" w:type="dxa"/>
            <w:vMerge w:val="continue"/>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tc>
        <w:tc>
          <w:tcPr>
            <w:tcW w:w="562" w:type="dxa"/>
            <w:vMerge w:val="continue"/>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tc>
        <w:tc>
          <w:tcPr>
            <w:tcW w:w="855" w:type="dxa"/>
            <w:vMerge w:val="continue"/>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pPr>
              <w:pStyle w:val="4"/>
              <w:widowControl/>
              <w:wordWrap w:val="0"/>
              <w:spacing w:beforeAutospacing="1"/>
              <w:rPr>
                <w:rFonts w:ascii="宋体" w:eastAsia="宋体" w:cs="宋体"/>
                <w:color w:val="000000" w:themeColor="text1"/>
                <w:szCs w:val="24"/>
              </w:rPr>
            </w:pPr>
          </w:p>
        </w:tc>
        <w:tc>
          <w:tcPr>
            <w:tcW w:w="2382" w:type="dxa"/>
            <w:vMerge w:val="continue"/>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pPr>
              <w:pStyle w:val="4"/>
              <w:widowControl/>
              <w:wordWrap w:val="0"/>
              <w:spacing w:beforeAutospacing="1"/>
              <w:rPr>
                <w:rFonts w:ascii="宋体" w:eastAsia="宋体" w:cs="宋体"/>
                <w:color w:val="000000" w:themeColor="text1"/>
                <w:szCs w:val="24"/>
              </w:rPr>
            </w:pPr>
          </w:p>
        </w:tc>
        <w:tc>
          <w:tcPr>
            <w:tcW w:w="2643" w:type="dxa"/>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pPr>
              <w:pStyle w:val="4"/>
              <w:widowControl/>
              <w:wordWrap w:val="0"/>
              <w:spacing w:beforeAutospacing="1"/>
              <w:rPr>
                <w:rFonts w:ascii="宋体" w:eastAsia="宋体" w:cs="宋体"/>
                <w:color w:val="000000" w:themeColor="text1"/>
                <w:szCs w:val="24"/>
              </w:rPr>
            </w:pPr>
            <w:r>
              <w:rPr>
                <w:rFonts w:hint="eastAsia" w:ascii="宋体" w:eastAsia="宋体" w:cs="宋体"/>
                <w:color w:val="000000" w:themeColor="text1"/>
                <w:szCs w:val="24"/>
              </w:rPr>
              <w:t>36名及以下</w:t>
            </w:r>
          </w:p>
        </w:tc>
        <w:tc>
          <w:tcPr>
            <w:tcW w:w="923" w:type="dxa"/>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pPr>
              <w:pStyle w:val="4"/>
              <w:widowControl/>
              <w:wordWrap w:val="0"/>
              <w:spacing w:beforeAutospacing="1"/>
              <w:rPr>
                <w:rFonts w:ascii="宋体" w:eastAsia="宋体" w:cs="宋体"/>
                <w:color w:val="000000" w:themeColor="text1"/>
                <w:szCs w:val="24"/>
              </w:rPr>
            </w:pPr>
            <w:r>
              <w:rPr>
                <w:rFonts w:hint="eastAsia" w:ascii="宋体" w:eastAsia="宋体" w:cs="宋体"/>
                <w:color w:val="000000" w:themeColor="text1"/>
                <w:szCs w:val="24"/>
              </w:rPr>
              <w:t>0.5</w:t>
            </w:r>
          </w:p>
        </w:tc>
      </w:tr>
      <w:tr>
        <w:tblPrEx>
          <w:tblBorders>
            <w:top w:val="single" w:color="CCCCCC" w:sz="6" w:space="0"/>
            <w:left w:val="single" w:color="CCCCCC" w:sz="6" w:space="0"/>
            <w:bottom w:val="single" w:color="CCCCCC" w:sz="6" w:space="0"/>
            <w:right w:val="single" w:color="CCCCCC" w:sz="6" w:space="0"/>
            <w:insideH w:val="outset" w:color="auto" w:sz="6" w:space="0"/>
            <w:insideV w:val="outset" w:color="auto" w:sz="6" w:space="0"/>
          </w:tblBorders>
          <w:tblCellMar>
            <w:top w:w="105" w:type="dxa"/>
            <w:left w:w="105" w:type="dxa"/>
            <w:bottom w:w="105" w:type="dxa"/>
            <w:right w:w="105" w:type="dxa"/>
          </w:tblCellMar>
        </w:tblPrEx>
        <w:trPr>
          <w:trHeight w:val="492" w:hRule="atLeast"/>
          <w:tblCellSpacing w:w="0" w:type="dxa"/>
          <w:jc w:val="center"/>
        </w:trPr>
        <w:tc>
          <w:tcPr>
            <w:tcW w:w="562" w:type="dxa"/>
            <w:vMerge w:val="continue"/>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tc>
        <w:tc>
          <w:tcPr>
            <w:tcW w:w="644" w:type="dxa"/>
            <w:vMerge w:val="continue"/>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tc>
        <w:tc>
          <w:tcPr>
            <w:tcW w:w="562" w:type="dxa"/>
            <w:vMerge w:val="continue"/>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tc>
        <w:tc>
          <w:tcPr>
            <w:tcW w:w="855" w:type="dxa"/>
            <w:vMerge w:val="continue"/>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pPr>
              <w:pStyle w:val="4"/>
              <w:widowControl/>
              <w:wordWrap w:val="0"/>
              <w:spacing w:beforeAutospacing="1"/>
              <w:rPr>
                <w:rFonts w:ascii="宋体" w:eastAsia="宋体" w:cs="宋体"/>
                <w:color w:val="000000" w:themeColor="text1"/>
                <w:szCs w:val="24"/>
              </w:rPr>
            </w:pPr>
          </w:p>
        </w:tc>
        <w:tc>
          <w:tcPr>
            <w:tcW w:w="2382" w:type="dxa"/>
            <w:vMerge w:val="continue"/>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pPr>
              <w:pStyle w:val="4"/>
              <w:widowControl/>
              <w:wordWrap w:val="0"/>
              <w:spacing w:beforeAutospacing="1"/>
              <w:rPr>
                <w:rFonts w:ascii="宋体" w:eastAsia="宋体" w:cs="宋体"/>
                <w:color w:val="000000" w:themeColor="text1"/>
                <w:szCs w:val="24"/>
              </w:rPr>
            </w:pPr>
          </w:p>
        </w:tc>
        <w:tc>
          <w:tcPr>
            <w:tcW w:w="2643" w:type="dxa"/>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pPr>
              <w:pStyle w:val="4"/>
              <w:widowControl/>
              <w:wordWrap w:val="0"/>
              <w:spacing w:beforeAutospacing="1"/>
              <w:rPr>
                <w:rFonts w:ascii="宋体" w:eastAsia="宋体" w:cs="宋体"/>
                <w:color w:val="000000" w:themeColor="text1"/>
                <w:szCs w:val="24"/>
              </w:rPr>
            </w:pPr>
            <w:r>
              <w:rPr>
                <w:rFonts w:hint="eastAsia" w:ascii="宋体" w:eastAsia="宋体" w:cs="宋体"/>
                <w:color w:val="000000" w:themeColor="text1"/>
                <w:szCs w:val="24"/>
              </w:rPr>
              <w:t>无业务</w:t>
            </w:r>
          </w:p>
        </w:tc>
        <w:tc>
          <w:tcPr>
            <w:tcW w:w="923" w:type="dxa"/>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pPr>
              <w:pStyle w:val="4"/>
              <w:widowControl/>
              <w:wordWrap w:val="0"/>
              <w:spacing w:beforeAutospacing="1"/>
              <w:rPr>
                <w:rFonts w:ascii="宋体" w:eastAsia="宋体" w:cs="宋体"/>
                <w:color w:val="000000" w:themeColor="text1"/>
                <w:szCs w:val="24"/>
              </w:rPr>
            </w:pPr>
            <w:r>
              <w:rPr>
                <w:rFonts w:hint="eastAsia" w:ascii="宋体" w:eastAsia="宋体" w:cs="宋体"/>
                <w:color w:val="000000" w:themeColor="text1"/>
                <w:szCs w:val="24"/>
              </w:rPr>
              <w:t>0</w:t>
            </w:r>
          </w:p>
        </w:tc>
      </w:tr>
      <w:tr>
        <w:tblPrEx>
          <w:tblBorders>
            <w:top w:val="single" w:color="CCCCCC" w:sz="6" w:space="0"/>
            <w:left w:val="single" w:color="CCCCCC" w:sz="6" w:space="0"/>
            <w:bottom w:val="single" w:color="CCCCCC" w:sz="6" w:space="0"/>
            <w:right w:val="single" w:color="CCCCCC" w:sz="6" w:space="0"/>
            <w:insideH w:val="outset" w:color="auto" w:sz="6" w:space="0"/>
            <w:insideV w:val="outset" w:color="auto" w:sz="6" w:space="0"/>
          </w:tblBorders>
          <w:tblCellMar>
            <w:top w:w="105" w:type="dxa"/>
            <w:left w:w="105" w:type="dxa"/>
            <w:bottom w:w="105" w:type="dxa"/>
            <w:right w:w="105" w:type="dxa"/>
          </w:tblCellMar>
        </w:tblPrEx>
        <w:trPr>
          <w:trHeight w:val="757" w:hRule="atLeast"/>
          <w:tblCellSpacing w:w="0" w:type="dxa"/>
          <w:jc w:val="center"/>
        </w:trPr>
        <w:tc>
          <w:tcPr>
            <w:tcW w:w="562" w:type="dxa"/>
            <w:vMerge w:val="continue"/>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tc>
        <w:tc>
          <w:tcPr>
            <w:tcW w:w="644" w:type="dxa"/>
            <w:vMerge w:val="continue"/>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tc>
        <w:tc>
          <w:tcPr>
            <w:tcW w:w="562" w:type="dxa"/>
            <w:vMerge w:val="restart"/>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pPr>
              <w:pStyle w:val="4"/>
              <w:widowControl/>
              <w:wordWrap w:val="0"/>
              <w:spacing w:beforeAutospacing="1" w:afterAutospacing="1"/>
              <w:jc w:val="center"/>
              <w:rPr>
                <w:rFonts w:ascii="Times New Roman" w:hAnsi="Times New Roman" w:eastAsia="微软雅黑" w:cs="Times New Roman"/>
                <w:szCs w:val="24"/>
              </w:rPr>
            </w:pPr>
            <w:r>
              <w:rPr>
                <w:rFonts w:hint="eastAsia" w:ascii="Times New Roman" w:hAnsi="Times New Roman" w:eastAsia="微软雅黑" w:cs="Times New Roman"/>
                <w:szCs w:val="24"/>
              </w:rPr>
              <w:t>3</w:t>
            </w:r>
          </w:p>
        </w:tc>
        <w:tc>
          <w:tcPr>
            <w:tcW w:w="855" w:type="dxa"/>
            <w:vMerge w:val="restart"/>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pPr>
              <w:pStyle w:val="4"/>
              <w:widowControl/>
              <w:wordWrap w:val="0"/>
              <w:spacing w:beforeAutospacing="1"/>
              <w:rPr>
                <w:rFonts w:ascii="宋体" w:eastAsia="宋体" w:cs="宋体"/>
                <w:color w:val="000000" w:themeColor="text1"/>
                <w:szCs w:val="24"/>
              </w:rPr>
            </w:pPr>
            <w:r>
              <w:rPr>
                <w:rFonts w:ascii="宋体" w:eastAsia="宋体" w:cs="宋体"/>
                <w:color w:val="000000" w:themeColor="text1"/>
                <w:szCs w:val="24"/>
              </w:rPr>
              <w:t>大型房屋建筑和市政基础设施工程施工项目代理经验</w:t>
            </w:r>
          </w:p>
        </w:tc>
        <w:tc>
          <w:tcPr>
            <w:tcW w:w="2382" w:type="dxa"/>
            <w:vMerge w:val="restart"/>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pPr>
              <w:pStyle w:val="4"/>
              <w:widowControl/>
              <w:wordWrap w:val="0"/>
              <w:spacing w:beforeAutospacing="1"/>
              <w:rPr>
                <w:rFonts w:ascii="宋体" w:eastAsia="宋体" w:cs="宋体"/>
                <w:color w:val="000000" w:themeColor="text1"/>
                <w:szCs w:val="24"/>
              </w:rPr>
            </w:pPr>
            <w:r>
              <w:rPr>
                <w:rFonts w:hint="eastAsia" w:ascii="宋体" w:eastAsia="宋体" w:cs="宋体"/>
                <w:color w:val="000000" w:themeColor="text1"/>
                <w:szCs w:val="24"/>
              </w:rPr>
              <w:t>柳州市（含鹿寨县）</w:t>
            </w:r>
            <w:r>
              <w:rPr>
                <w:rFonts w:ascii="宋体" w:eastAsia="宋体" w:cs="宋体"/>
                <w:color w:val="000000" w:themeColor="text1"/>
                <w:szCs w:val="24"/>
              </w:rPr>
              <w:t>公共资源交易平台系统提供的企业招标代理的房屋建筑和市政基础设施工程施工项目中标宗数</w:t>
            </w:r>
            <w:r>
              <w:rPr>
                <w:rFonts w:hint="eastAsia" w:ascii="宋体" w:eastAsia="宋体" w:cs="宋体"/>
                <w:color w:val="000000" w:themeColor="text1"/>
                <w:szCs w:val="24"/>
              </w:rPr>
              <w:t>，</w:t>
            </w:r>
            <w:r>
              <w:rPr>
                <w:rFonts w:ascii="宋体" w:eastAsia="宋体" w:cs="宋体"/>
                <w:color w:val="000000" w:themeColor="text1"/>
                <w:szCs w:val="24"/>
              </w:rPr>
              <w:t>每宗得分</w:t>
            </w:r>
          </w:p>
        </w:tc>
        <w:tc>
          <w:tcPr>
            <w:tcW w:w="2643" w:type="dxa"/>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pPr>
              <w:pStyle w:val="4"/>
              <w:widowControl/>
              <w:wordWrap w:val="0"/>
              <w:spacing w:beforeAutospacing="1"/>
              <w:rPr>
                <w:rFonts w:ascii="宋体" w:eastAsia="宋体" w:cs="宋体"/>
                <w:color w:val="000000" w:themeColor="text1"/>
                <w:szCs w:val="24"/>
              </w:rPr>
            </w:pPr>
            <w:r>
              <w:rPr>
                <w:rFonts w:ascii="宋体" w:eastAsia="宋体" w:cs="宋体"/>
                <w:color w:val="000000" w:themeColor="text1"/>
                <w:szCs w:val="24"/>
              </w:rPr>
              <w:t>单项中标金额3亿元及以上的每宗得分</w:t>
            </w:r>
          </w:p>
        </w:tc>
        <w:tc>
          <w:tcPr>
            <w:tcW w:w="923" w:type="dxa"/>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pPr>
              <w:pStyle w:val="4"/>
              <w:widowControl/>
              <w:wordWrap w:val="0"/>
              <w:spacing w:beforeAutospacing="1"/>
              <w:rPr>
                <w:rFonts w:ascii="宋体" w:eastAsia="宋体" w:cs="宋体"/>
                <w:color w:val="000000" w:themeColor="text1"/>
                <w:szCs w:val="24"/>
              </w:rPr>
            </w:pPr>
            <w:r>
              <w:rPr>
                <w:rFonts w:ascii="宋体" w:eastAsia="宋体" w:cs="宋体"/>
                <w:color w:val="000000" w:themeColor="text1"/>
                <w:szCs w:val="24"/>
              </w:rPr>
              <w:t>1</w:t>
            </w:r>
          </w:p>
        </w:tc>
      </w:tr>
      <w:tr>
        <w:tblPrEx>
          <w:tblBorders>
            <w:top w:val="single" w:color="CCCCCC" w:sz="6" w:space="0"/>
            <w:left w:val="single" w:color="CCCCCC" w:sz="6" w:space="0"/>
            <w:bottom w:val="single" w:color="CCCCCC" w:sz="6" w:space="0"/>
            <w:right w:val="single" w:color="CCCCCC" w:sz="6" w:space="0"/>
            <w:insideH w:val="outset" w:color="auto" w:sz="6" w:space="0"/>
            <w:insideV w:val="outset" w:color="auto" w:sz="6" w:space="0"/>
          </w:tblBorders>
          <w:tblCellMar>
            <w:top w:w="105" w:type="dxa"/>
            <w:left w:w="105" w:type="dxa"/>
            <w:bottom w:w="105" w:type="dxa"/>
            <w:right w:w="105" w:type="dxa"/>
          </w:tblCellMar>
        </w:tblPrEx>
        <w:trPr>
          <w:trHeight w:val="943" w:hRule="atLeast"/>
          <w:tblCellSpacing w:w="0" w:type="dxa"/>
          <w:jc w:val="center"/>
        </w:trPr>
        <w:tc>
          <w:tcPr>
            <w:tcW w:w="562" w:type="dxa"/>
            <w:vMerge w:val="continue"/>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tc>
        <w:tc>
          <w:tcPr>
            <w:tcW w:w="644" w:type="dxa"/>
            <w:vMerge w:val="continue"/>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tc>
        <w:tc>
          <w:tcPr>
            <w:tcW w:w="562" w:type="dxa"/>
            <w:vMerge w:val="continue"/>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tc>
        <w:tc>
          <w:tcPr>
            <w:tcW w:w="855" w:type="dxa"/>
            <w:vMerge w:val="continue"/>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pPr>
              <w:pStyle w:val="4"/>
              <w:widowControl/>
              <w:wordWrap w:val="0"/>
              <w:spacing w:beforeAutospacing="1"/>
              <w:rPr>
                <w:rFonts w:ascii="宋体" w:eastAsia="宋体" w:cs="宋体"/>
                <w:color w:val="000000" w:themeColor="text1"/>
                <w:szCs w:val="24"/>
              </w:rPr>
            </w:pPr>
          </w:p>
        </w:tc>
        <w:tc>
          <w:tcPr>
            <w:tcW w:w="2382" w:type="dxa"/>
            <w:vMerge w:val="continue"/>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pPr>
              <w:pStyle w:val="4"/>
              <w:widowControl/>
              <w:wordWrap w:val="0"/>
              <w:spacing w:beforeAutospacing="1"/>
              <w:rPr>
                <w:rFonts w:ascii="宋体" w:eastAsia="宋体" w:cs="宋体"/>
                <w:color w:val="000000" w:themeColor="text1"/>
                <w:szCs w:val="24"/>
              </w:rPr>
            </w:pPr>
          </w:p>
        </w:tc>
        <w:tc>
          <w:tcPr>
            <w:tcW w:w="2643" w:type="dxa"/>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pPr>
              <w:pStyle w:val="4"/>
              <w:widowControl/>
              <w:wordWrap w:val="0"/>
              <w:spacing w:beforeAutospacing="1"/>
              <w:rPr>
                <w:rFonts w:ascii="宋体" w:eastAsia="宋体" w:cs="宋体"/>
                <w:color w:val="000000" w:themeColor="text1"/>
                <w:szCs w:val="24"/>
              </w:rPr>
            </w:pPr>
            <w:r>
              <w:rPr>
                <w:rFonts w:ascii="宋体" w:eastAsia="宋体" w:cs="宋体"/>
                <w:color w:val="000000" w:themeColor="text1"/>
                <w:szCs w:val="24"/>
              </w:rPr>
              <w:t>单项中标金额2亿元以上不超过3亿元的</w:t>
            </w:r>
          </w:p>
        </w:tc>
        <w:tc>
          <w:tcPr>
            <w:tcW w:w="923" w:type="dxa"/>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pPr>
              <w:pStyle w:val="4"/>
              <w:widowControl/>
              <w:wordWrap w:val="0"/>
              <w:spacing w:beforeAutospacing="1" w:afterAutospacing="1" w:line="320" w:lineRule="exact"/>
              <w:jc w:val="center"/>
              <w:rPr>
                <w:szCs w:val="24"/>
              </w:rPr>
            </w:pPr>
            <w:r>
              <w:rPr>
                <w:rFonts w:ascii="Times New Roman" w:hAnsi="Times New Roman" w:eastAsia="微软雅黑" w:cs="Times New Roman"/>
                <w:szCs w:val="24"/>
              </w:rPr>
              <w:t>0.6</w:t>
            </w:r>
          </w:p>
        </w:tc>
      </w:tr>
      <w:tr>
        <w:tblPrEx>
          <w:tblBorders>
            <w:top w:val="single" w:color="CCCCCC" w:sz="6" w:space="0"/>
            <w:left w:val="single" w:color="CCCCCC" w:sz="6" w:space="0"/>
            <w:bottom w:val="single" w:color="CCCCCC" w:sz="6" w:space="0"/>
            <w:right w:val="single" w:color="CCCCCC" w:sz="6" w:space="0"/>
            <w:insideH w:val="outset" w:color="auto" w:sz="6" w:space="0"/>
            <w:insideV w:val="outset" w:color="auto" w:sz="6" w:space="0"/>
          </w:tblBorders>
          <w:tblCellMar>
            <w:top w:w="105" w:type="dxa"/>
            <w:left w:w="105" w:type="dxa"/>
            <w:bottom w:w="105" w:type="dxa"/>
            <w:right w:w="105" w:type="dxa"/>
          </w:tblCellMar>
        </w:tblPrEx>
        <w:trPr>
          <w:trHeight w:val="943" w:hRule="atLeast"/>
          <w:tblCellSpacing w:w="0" w:type="dxa"/>
          <w:jc w:val="center"/>
        </w:trPr>
        <w:tc>
          <w:tcPr>
            <w:tcW w:w="562" w:type="dxa"/>
            <w:vMerge w:val="continue"/>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tc>
        <w:tc>
          <w:tcPr>
            <w:tcW w:w="644" w:type="dxa"/>
            <w:vMerge w:val="continue"/>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tc>
        <w:tc>
          <w:tcPr>
            <w:tcW w:w="562" w:type="dxa"/>
            <w:vMerge w:val="continue"/>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tc>
        <w:tc>
          <w:tcPr>
            <w:tcW w:w="855" w:type="dxa"/>
            <w:vMerge w:val="continue"/>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pPr>
              <w:pStyle w:val="4"/>
              <w:widowControl/>
              <w:wordWrap w:val="0"/>
              <w:spacing w:beforeAutospacing="1"/>
              <w:rPr>
                <w:rFonts w:ascii="宋体" w:eastAsia="宋体" w:cs="宋体"/>
                <w:color w:val="000000" w:themeColor="text1"/>
                <w:szCs w:val="24"/>
              </w:rPr>
            </w:pPr>
          </w:p>
        </w:tc>
        <w:tc>
          <w:tcPr>
            <w:tcW w:w="2382" w:type="dxa"/>
            <w:vMerge w:val="continue"/>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pPr>
              <w:pStyle w:val="4"/>
              <w:widowControl/>
              <w:wordWrap w:val="0"/>
              <w:spacing w:beforeAutospacing="1"/>
              <w:rPr>
                <w:rFonts w:ascii="宋体" w:eastAsia="宋体" w:cs="宋体"/>
                <w:color w:val="000000" w:themeColor="text1"/>
                <w:szCs w:val="24"/>
              </w:rPr>
            </w:pPr>
          </w:p>
        </w:tc>
        <w:tc>
          <w:tcPr>
            <w:tcW w:w="2643" w:type="dxa"/>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pPr>
              <w:pStyle w:val="4"/>
              <w:widowControl/>
              <w:wordWrap w:val="0"/>
              <w:spacing w:beforeAutospacing="1"/>
              <w:rPr>
                <w:rFonts w:ascii="宋体" w:eastAsia="宋体" w:cs="宋体"/>
                <w:color w:val="000000" w:themeColor="text1"/>
                <w:szCs w:val="24"/>
              </w:rPr>
            </w:pPr>
            <w:r>
              <w:rPr>
                <w:rFonts w:ascii="宋体" w:eastAsia="宋体" w:cs="宋体"/>
                <w:color w:val="000000" w:themeColor="text1"/>
                <w:szCs w:val="24"/>
              </w:rPr>
              <w:t>单项中标金额1亿元以上不超过2亿元的</w:t>
            </w:r>
          </w:p>
        </w:tc>
        <w:tc>
          <w:tcPr>
            <w:tcW w:w="923" w:type="dxa"/>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pPr>
              <w:pStyle w:val="4"/>
              <w:widowControl/>
              <w:wordWrap w:val="0"/>
              <w:spacing w:beforeAutospacing="1" w:afterAutospacing="1" w:line="320" w:lineRule="exact"/>
              <w:jc w:val="center"/>
              <w:rPr>
                <w:szCs w:val="24"/>
              </w:rPr>
            </w:pPr>
            <w:r>
              <w:rPr>
                <w:rFonts w:ascii="Times New Roman" w:hAnsi="Times New Roman" w:eastAsia="微软雅黑" w:cs="Times New Roman"/>
                <w:szCs w:val="24"/>
              </w:rPr>
              <w:t>0.3</w:t>
            </w:r>
          </w:p>
        </w:tc>
      </w:tr>
      <w:tr>
        <w:tblPrEx>
          <w:tblBorders>
            <w:top w:val="single" w:color="CCCCCC" w:sz="6" w:space="0"/>
            <w:left w:val="single" w:color="CCCCCC" w:sz="6" w:space="0"/>
            <w:bottom w:val="single" w:color="CCCCCC" w:sz="6" w:space="0"/>
            <w:right w:val="single" w:color="CCCCCC" w:sz="6" w:space="0"/>
            <w:insideH w:val="outset" w:color="auto" w:sz="6" w:space="0"/>
            <w:insideV w:val="outset" w:color="auto" w:sz="6" w:space="0"/>
          </w:tblBorders>
          <w:tblCellMar>
            <w:top w:w="105" w:type="dxa"/>
            <w:left w:w="105" w:type="dxa"/>
            <w:bottom w:w="105" w:type="dxa"/>
            <w:right w:w="105" w:type="dxa"/>
          </w:tblCellMar>
        </w:tblPrEx>
        <w:trPr>
          <w:trHeight w:val="902" w:hRule="atLeast"/>
          <w:tblCellSpacing w:w="0" w:type="dxa"/>
          <w:jc w:val="center"/>
        </w:trPr>
        <w:tc>
          <w:tcPr>
            <w:tcW w:w="562" w:type="dxa"/>
            <w:vMerge w:val="continue"/>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tc>
        <w:tc>
          <w:tcPr>
            <w:tcW w:w="644" w:type="dxa"/>
            <w:vMerge w:val="continue"/>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tc>
        <w:tc>
          <w:tcPr>
            <w:tcW w:w="562" w:type="dxa"/>
            <w:vMerge w:val="continue"/>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tc>
        <w:tc>
          <w:tcPr>
            <w:tcW w:w="855" w:type="dxa"/>
            <w:vMerge w:val="continue"/>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pPr>
              <w:pStyle w:val="4"/>
              <w:widowControl/>
              <w:wordWrap w:val="0"/>
              <w:spacing w:beforeAutospacing="1"/>
              <w:rPr>
                <w:rFonts w:ascii="宋体" w:eastAsia="宋体" w:cs="宋体"/>
                <w:color w:val="000000" w:themeColor="text1"/>
                <w:szCs w:val="24"/>
              </w:rPr>
            </w:pPr>
          </w:p>
        </w:tc>
        <w:tc>
          <w:tcPr>
            <w:tcW w:w="2382" w:type="dxa"/>
            <w:vMerge w:val="continue"/>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pPr>
              <w:pStyle w:val="4"/>
              <w:widowControl/>
              <w:wordWrap w:val="0"/>
              <w:spacing w:beforeAutospacing="1"/>
              <w:rPr>
                <w:rFonts w:ascii="宋体" w:eastAsia="宋体" w:cs="宋体"/>
                <w:color w:val="000000" w:themeColor="text1"/>
                <w:szCs w:val="24"/>
              </w:rPr>
            </w:pPr>
          </w:p>
        </w:tc>
        <w:tc>
          <w:tcPr>
            <w:tcW w:w="2643" w:type="dxa"/>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pPr>
              <w:pStyle w:val="4"/>
              <w:widowControl/>
              <w:wordWrap w:val="0"/>
              <w:spacing w:beforeAutospacing="1"/>
              <w:rPr>
                <w:rFonts w:ascii="宋体" w:eastAsia="宋体" w:cs="宋体"/>
                <w:color w:val="000000" w:themeColor="text1"/>
                <w:szCs w:val="24"/>
              </w:rPr>
            </w:pPr>
            <w:r>
              <w:rPr>
                <w:rFonts w:ascii="宋体" w:eastAsia="宋体" w:cs="宋体"/>
                <w:color w:val="000000" w:themeColor="text1"/>
                <w:szCs w:val="24"/>
              </w:rPr>
              <w:t>单项中标金额5</w:t>
            </w:r>
            <w:r>
              <w:rPr>
                <w:rFonts w:hint="eastAsia" w:ascii="宋体" w:eastAsia="宋体" w:cs="宋体"/>
                <w:color w:val="000000" w:themeColor="text1"/>
                <w:szCs w:val="24"/>
              </w:rPr>
              <w:t>仟</w:t>
            </w:r>
            <w:r>
              <w:rPr>
                <w:rFonts w:ascii="宋体" w:eastAsia="宋体" w:cs="宋体"/>
                <w:color w:val="000000" w:themeColor="text1"/>
                <w:szCs w:val="24"/>
              </w:rPr>
              <w:t>万元以上不超过1亿元的</w:t>
            </w:r>
          </w:p>
        </w:tc>
        <w:tc>
          <w:tcPr>
            <w:tcW w:w="923" w:type="dxa"/>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pPr>
              <w:pStyle w:val="4"/>
              <w:widowControl/>
              <w:wordWrap w:val="0"/>
              <w:spacing w:beforeAutospacing="1" w:afterAutospacing="1" w:line="320" w:lineRule="exact"/>
              <w:jc w:val="center"/>
              <w:rPr>
                <w:szCs w:val="24"/>
              </w:rPr>
            </w:pPr>
            <w:r>
              <w:rPr>
                <w:rFonts w:ascii="Times New Roman" w:hAnsi="Times New Roman" w:eastAsia="微软雅黑" w:cs="Times New Roman"/>
                <w:szCs w:val="24"/>
              </w:rPr>
              <w:t>0.1</w:t>
            </w:r>
          </w:p>
        </w:tc>
      </w:tr>
      <w:tr>
        <w:tblPrEx>
          <w:tblBorders>
            <w:top w:val="single" w:color="CCCCCC" w:sz="6" w:space="0"/>
            <w:left w:val="single" w:color="CCCCCC" w:sz="6" w:space="0"/>
            <w:bottom w:val="single" w:color="CCCCCC" w:sz="6" w:space="0"/>
            <w:right w:val="single" w:color="CCCCCC" w:sz="6" w:space="0"/>
            <w:insideH w:val="outset" w:color="auto" w:sz="6" w:space="0"/>
            <w:insideV w:val="outset" w:color="auto" w:sz="6" w:space="0"/>
          </w:tblBorders>
          <w:tblCellMar>
            <w:top w:w="105" w:type="dxa"/>
            <w:left w:w="105" w:type="dxa"/>
            <w:bottom w:w="105" w:type="dxa"/>
            <w:right w:w="105" w:type="dxa"/>
          </w:tblCellMar>
        </w:tblPrEx>
        <w:trPr>
          <w:tblCellSpacing w:w="0" w:type="dxa"/>
          <w:jc w:val="center"/>
        </w:trPr>
        <w:tc>
          <w:tcPr>
            <w:tcW w:w="562" w:type="dxa"/>
            <w:vMerge w:val="continue"/>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tc>
        <w:tc>
          <w:tcPr>
            <w:tcW w:w="644" w:type="dxa"/>
            <w:vMerge w:val="continue"/>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tc>
        <w:tc>
          <w:tcPr>
            <w:tcW w:w="562" w:type="dxa"/>
            <w:vMerge w:val="continue"/>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tc>
        <w:tc>
          <w:tcPr>
            <w:tcW w:w="855" w:type="dxa"/>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pPr>
              <w:pStyle w:val="4"/>
              <w:widowControl/>
              <w:wordWrap w:val="0"/>
              <w:spacing w:beforeAutospacing="1"/>
              <w:rPr>
                <w:rFonts w:ascii="宋体" w:eastAsia="宋体" w:cs="宋体"/>
                <w:color w:val="000000" w:themeColor="text1"/>
                <w:szCs w:val="24"/>
              </w:rPr>
            </w:pPr>
            <w:r>
              <w:rPr>
                <w:rFonts w:ascii="宋体" w:eastAsia="宋体" w:cs="宋体"/>
                <w:color w:val="000000" w:themeColor="text1"/>
                <w:szCs w:val="24"/>
              </w:rPr>
              <w:t>总承包或全过程工程咨询项目代理经验</w:t>
            </w:r>
          </w:p>
        </w:tc>
        <w:tc>
          <w:tcPr>
            <w:tcW w:w="2382" w:type="dxa"/>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pPr>
              <w:pStyle w:val="4"/>
              <w:widowControl/>
              <w:wordWrap w:val="0"/>
              <w:spacing w:beforeAutospacing="1"/>
              <w:rPr>
                <w:rFonts w:ascii="宋体" w:eastAsia="宋体" w:cs="宋体"/>
                <w:color w:val="000000" w:themeColor="text1"/>
                <w:szCs w:val="24"/>
              </w:rPr>
            </w:pPr>
            <w:r>
              <w:rPr>
                <w:rFonts w:hint="eastAsia" w:ascii="宋体" w:eastAsia="宋体" w:cs="宋体"/>
                <w:color w:val="000000" w:themeColor="text1"/>
                <w:szCs w:val="24"/>
              </w:rPr>
              <w:t>柳州（含鹿寨县）</w:t>
            </w:r>
            <w:r>
              <w:rPr>
                <w:rFonts w:ascii="宋体" w:eastAsia="宋体" w:cs="宋体"/>
                <w:color w:val="000000" w:themeColor="text1"/>
                <w:szCs w:val="24"/>
              </w:rPr>
              <w:t>公共资源交易平台系统提供的企业招标代理的房建市政项目中工程总承包项目中标金额5000万以上（含）（按费率招的项目不计）或全过程工程咨询项目公开招标代理宗数</w:t>
            </w:r>
          </w:p>
        </w:tc>
        <w:tc>
          <w:tcPr>
            <w:tcW w:w="2643" w:type="dxa"/>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pPr>
              <w:pStyle w:val="4"/>
              <w:widowControl/>
              <w:wordWrap w:val="0"/>
              <w:spacing w:beforeAutospacing="1"/>
              <w:rPr>
                <w:rFonts w:ascii="宋体" w:eastAsia="宋体" w:cs="宋体"/>
                <w:color w:val="000000" w:themeColor="text1"/>
                <w:szCs w:val="24"/>
              </w:rPr>
            </w:pPr>
            <w:r>
              <w:rPr>
                <w:rFonts w:ascii="宋体" w:eastAsia="宋体" w:cs="宋体"/>
                <w:color w:val="000000" w:themeColor="text1"/>
                <w:szCs w:val="24"/>
              </w:rPr>
              <w:t>每宗得分</w:t>
            </w:r>
          </w:p>
        </w:tc>
        <w:tc>
          <w:tcPr>
            <w:tcW w:w="923" w:type="dxa"/>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pPr>
              <w:pStyle w:val="4"/>
              <w:widowControl/>
              <w:wordWrap w:val="0"/>
              <w:spacing w:beforeAutospacing="1" w:afterAutospacing="1"/>
              <w:jc w:val="center"/>
              <w:rPr>
                <w:szCs w:val="24"/>
              </w:rPr>
            </w:pPr>
            <w:r>
              <w:rPr>
                <w:rFonts w:ascii="Times New Roman" w:hAnsi="Times New Roman" w:eastAsia="微软雅黑" w:cs="Times New Roman"/>
                <w:szCs w:val="24"/>
              </w:rPr>
              <w:t>0.1</w:t>
            </w:r>
          </w:p>
        </w:tc>
      </w:tr>
      <w:tr>
        <w:tblPrEx>
          <w:tblBorders>
            <w:top w:val="single" w:color="CCCCCC" w:sz="6" w:space="0"/>
            <w:left w:val="single" w:color="CCCCCC" w:sz="6" w:space="0"/>
            <w:bottom w:val="single" w:color="CCCCCC" w:sz="6" w:space="0"/>
            <w:right w:val="single" w:color="CCCCCC" w:sz="6" w:space="0"/>
            <w:insideH w:val="outset" w:color="auto" w:sz="6" w:space="0"/>
            <w:insideV w:val="outset" w:color="auto" w:sz="6" w:space="0"/>
          </w:tblBorders>
          <w:tblCellMar>
            <w:top w:w="105" w:type="dxa"/>
            <w:left w:w="105" w:type="dxa"/>
            <w:bottom w:w="105" w:type="dxa"/>
            <w:right w:w="105" w:type="dxa"/>
          </w:tblCellMar>
        </w:tblPrEx>
        <w:trPr>
          <w:trHeight w:val="90" w:hRule="atLeast"/>
          <w:tblCellSpacing w:w="0" w:type="dxa"/>
          <w:jc w:val="center"/>
        </w:trPr>
        <w:tc>
          <w:tcPr>
            <w:tcW w:w="562" w:type="dxa"/>
            <w:vMerge w:val="restart"/>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pPr>
              <w:pStyle w:val="4"/>
              <w:widowControl/>
              <w:wordWrap w:val="0"/>
              <w:spacing w:beforeAutospacing="1" w:afterAutospacing="1"/>
              <w:jc w:val="center"/>
              <w:rPr>
                <w:rFonts w:ascii="方正大黑简体" w:eastAsia="方正大黑简体" w:cs="方正大黑简体"/>
                <w:szCs w:val="24"/>
              </w:rPr>
            </w:pPr>
          </w:p>
          <w:p>
            <w:pPr>
              <w:pStyle w:val="4"/>
              <w:widowControl/>
              <w:wordWrap w:val="0"/>
              <w:spacing w:beforeAutospacing="1" w:afterAutospacing="1"/>
              <w:jc w:val="center"/>
              <w:rPr>
                <w:rFonts w:ascii="方正大黑简体" w:eastAsia="方正大黑简体" w:cs="方正大黑简体"/>
                <w:szCs w:val="24"/>
              </w:rPr>
            </w:pPr>
          </w:p>
          <w:p>
            <w:pPr>
              <w:pStyle w:val="4"/>
              <w:widowControl/>
              <w:wordWrap w:val="0"/>
              <w:spacing w:beforeAutospacing="1" w:afterAutospacing="1"/>
              <w:jc w:val="center"/>
              <w:rPr>
                <w:rFonts w:ascii="方正大黑简体" w:eastAsia="方正大黑简体" w:cs="方正大黑简体"/>
                <w:szCs w:val="24"/>
              </w:rPr>
            </w:pPr>
          </w:p>
          <w:p>
            <w:pPr>
              <w:pStyle w:val="4"/>
              <w:widowControl/>
              <w:wordWrap w:val="0"/>
              <w:spacing w:beforeAutospacing="1" w:afterAutospacing="1"/>
              <w:jc w:val="center"/>
              <w:rPr>
                <w:rFonts w:ascii="方正大黑简体" w:eastAsia="方正大黑简体" w:cs="方正大黑简体"/>
                <w:szCs w:val="24"/>
              </w:rPr>
            </w:pPr>
          </w:p>
          <w:p>
            <w:pPr>
              <w:pStyle w:val="4"/>
              <w:widowControl/>
              <w:wordWrap w:val="0"/>
              <w:spacing w:beforeAutospacing="1" w:afterAutospacing="1"/>
              <w:rPr>
                <w:rFonts w:ascii="方正大黑简体" w:eastAsia="方正大黑简体" w:cs="方正大黑简体"/>
                <w:szCs w:val="24"/>
              </w:rPr>
            </w:pPr>
          </w:p>
          <w:p>
            <w:pPr>
              <w:pStyle w:val="4"/>
              <w:widowControl/>
              <w:wordWrap w:val="0"/>
              <w:spacing w:beforeAutospacing="1" w:afterAutospacing="1"/>
              <w:jc w:val="center"/>
              <w:rPr>
                <w:rFonts w:ascii="方正大黑简体" w:eastAsia="方正大黑简体" w:cs="方正大黑简体"/>
                <w:szCs w:val="24"/>
              </w:rPr>
            </w:pPr>
          </w:p>
          <w:p>
            <w:pPr>
              <w:pStyle w:val="4"/>
              <w:widowControl/>
              <w:wordWrap w:val="0"/>
              <w:spacing w:beforeAutospacing="1" w:afterAutospacing="1"/>
              <w:jc w:val="center"/>
              <w:rPr>
                <w:rFonts w:ascii="方正大黑简体" w:eastAsia="方正大黑简体" w:cs="方正大黑简体"/>
                <w:szCs w:val="24"/>
              </w:rPr>
            </w:pPr>
            <w:r>
              <w:rPr>
                <w:rFonts w:hint="eastAsia" w:ascii="方正大黑简体" w:eastAsia="方正大黑简体" w:cs="方正大黑简体"/>
                <w:szCs w:val="24"/>
              </w:rPr>
              <w:t>3</w:t>
            </w:r>
          </w:p>
          <w:p>
            <w:pPr>
              <w:pStyle w:val="4"/>
              <w:widowControl/>
              <w:wordWrap w:val="0"/>
              <w:spacing w:beforeAutospacing="1" w:afterAutospacing="1"/>
              <w:jc w:val="center"/>
              <w:rPr>
                <w:rFonts w:ascii="方正大黑简体" w:eastAsia="方正大黑简体" w:cs="方正大黑简体"/>
                <w:szCs w:val="24"/>
              </w:rPr>
            </w:pPr>
          </w:p>
          <w:p>
            <w:pPr>
              <w:pStyle w:val="4"/>
              <w:widowControl/>
              <w:wordWrap w:val="0"/>
              <w:spacing w:beforeAutospacing="1" w:afterAutospacing="1"/>
              <w:jc w:val="center"/>
              <w:rPr>
                <w:rFonts w:ascii="方正大黑简体" w:eastAsia="方正大黑简体" w:cs="方正大黑简体"/>
                <w:szCs w:val="24"/>
              </w:rPr>
            </w:pPr>
          </w:p>
          <w:p>
            <w:pPr>
              <w:pStyle w:val="4"/>
              <w:widowControl/>
              <w:wordWrap w:val="0"/>
              <w:spacing w:beforeAutospacing="1" w:afterAutospacing="1"/>
              <w:jc w:val="center"/>
              <w:rPr>
                <w:rFonts w:ascii="方正大黑简体" w:eastAsia="方正大黑简体" w:cs="方正大黑简体"/>
                <w:szCs w:val="24"/>
              </w:rPr>
            </w:pPr>
          </w:p>
          <w:p>
            <w:pPr>
              <w:pStyle w:val="4"/>
              <w:widowControl/>
              <w:wordWrap w:val="0"/>
              <w:spacing w:beforeAutospacing="1" w:afterAutospacing="1"/>
              <w:jc w:val="center"/>
              <w:rPr>
                <w:rFonts w:ascii="方正大黑简体" w:eastAsia="方正大黑简体" w:cs="方正大黑简体"/>
                <w:szCs w:val="24"/>
              </w:rPr>
            </w:pPr>
          </w:p>
          <w:p>
            <w:pPr>
              <w:pStyle w:val="4"/>
              <w:widowControl/>
              <w:wordWrap w:val="0"/>
              <w:spacing w:beforeAutospacing="1" w:afterAutospacing="1"/>
              <w:jc w:val="center"/>
              <w:rPr>
                <w:rFonts w:ascii="方正大黑简体" w:eastAsia="方正大黑简体" w:cs="方正大黑简体"/>
                <w:szCs w:val="24"/>
              </w:rPr>
            </w:pPr>
          </w:p>
          <w:p>
            <w:pPr>
              <w:pStyle w:val="4"/>
              <w:widowControl/>
              <w:wordWrap w:val="0"/>
              <w:spacing w:beforeAutospacing="1" w:afterAutospacing="1"/>
              <w:jc w:val="center"/>
              <w:rPr>
                <w:rFonts w:ascii="方正大黑简体" w:eastAsia="方正大黑简体" w:cs="方正大黑简体"/>
                <w:szCs w:val="24"/>
              </w:rPr>
            </w:pPr>
          </w:p>
          <w:p>
            <w:pPr>
              <w:pStyle w:val="4"/>
              <w:widowControl/>
              <w:wordWrap w:val="0"/>
              <w:spacing w:beforeAutospacing="1" w:afterAutospacing="1"/>
              <w:jc w:val="center"/>
              <w:rPr>
                <w:rFonts w:ascii="方正大黑简体" w:eastAsia="方正大黑简体" w:cs="方正大黑简体"/>
                <w:szCs w:val="24"/>
              </w:rPr>
            </w:pPr>
          </w:p>
          <w:p>
            <w:pPr>
              <w:pStyle w:val="4"/>
              <w:widowControl/>
              <w:wordWrap w:val="0"/>
              <w:spacing w:beforeAutospacing="1" w:afterAutospacing="1"/>
              <w:jc w:val="center"/>
              <w:rPr>
                <w:rFonts w:ascii="方正大黑简体" w:eastAsia="方正大黑简体" w:cs="方正大黑简体"/>
                <w:szCs w:val="24"/>
              </w:rPr>
            </w:pPr>
          </w:p>
          <w:p>
            <w:pPr>
              <w:pStyle w:val="4"/>
              <w:widowControl/>
              <w:wordWrap w:val="0"/>
              <w:spacing w:beforeAutospacing="1" w:afterAutospacing="1"/>
              <w:rPr>
                <w:rFonts w:ascii="方正大黑简体" w:eastAsia="方正大黑简体" w:cs="方正大黑简体"/>
                <w:szCs w:val="24"/>
              </w:rPr>
            </w:pPr>
          </w:p>
          <w:p>
            <w:pPr>
              <w:pStyle w:val="4"/>
              <w:widowControl/>
              <w:wordWrap w:val="0"/>
              <w:spacing w:beforeAutospacing="1" w:afterAutospacing="1"/>
              <w:jc w:val="center"/>
              <w:rPr>
                <w:rFonts w:ascii="方正大黑简体" w:eastAsia="方正大黑简体" w:cs="方正大黑简体"/>
                <w:szCs w:val="24"/>
              </w:rPr>
            </w:pPr>
            <w:r>
              <w:rPr>
                <w:rFonts w:hint="eastAsia" w:ascii="方正大黑简体" w:eastAsia="方正大黑简体" w:cs="方正大黑简体"/>
                <w:szCs w:val="24"/>
              </w:rPr>
              <w:t>3</w:t>
            </w:r>
          </w:p>
          <w:p>
            <w:pPr>
              <w:pStyle w:val="4"/>
              <w:widowControl/>
              <w:wordWrap w:val="0"/>
              <w:spacing w:beforeAutospacing="1" w:afterAutospacing="1"/>
              <w:jc w:val="center"/>
              <w:rPr>
                <w:rFonts w:ascii="方正大黑简体" w:eastAsia="方正大黑简体" w:cs="方正大黑简体"/>
                <w:szCs w:val="24"/>
              </w:rPr>
            </w:pPr>
          </w:p>
        </w:tc>
        <w:tc>
          <w:tcPr>
            <w:tcW w:w="644" w:type="dxa"/>
            <w:vMerge w:val="restart"/>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pPr>
              <w:pStyle w:val="4"/>
              <w:widowControl/>
              <w:wordWrap w:val="0"/>
              <w:spacing w:beforeAutospacing="1" w:afterAutospacing="1"/>
              <w:jc w:val="center"/>
              <w:rPr>
                <w:rFonts w:ascii="方正大黑简体" w:eastAsia="方正大黑简体" w:cs="方正大黑简体"/>
                <w:szCs w:val="24"/>
              </w:rPr>
            </w:pPr>
          </w:p>
          <w:p>
            <w:pPr>
              <w:pStyle w:val="4"/>
              <w:widowControl/>
              <w:wordWrap w:val="0"/>
              <w:spacing w:beforeAutospacing="1" w:afterAutospacing="1"/>
              <w:jc w:val="center"/>
              <w:rPr>
                <w:rFonts w:ascii="方正大黑简体" w:eastAsia="方正大黑简体" w:cs="方正大黑简体"/>
                <w:szCs w:val="24"/>
              </w:rPr>
            </w:pPr>
          </w:p>
          <w:p>
            <w:pPr>
              <w:pStyle w:val="4"/>
              <w:widowControl/>
              <w:wordWrap w:val="0"/>
              <w:spacing w:beforeAutospacing="1" w:afterAutospacing="1"/>
              <w:jc w:val="center"/>
              <w:rPr>
                <w:rFonts w:ascii="方正大黑简体" w:eastAsia="方正大黑简体" w:cs="方正大黑简体"/>
                <w:szCs w:val="24"/>
              </w:rPr>
            </w:pPr>
          </w:p>
          <w:p>
            <w:pPr>
              <w:pStyle w:val="4"/>
              <w:widowControl/>
              <w:wordWrap w:val="0"/>
              <w:spacing w:beforeAutospacing="1" w:afterAutospacing="1"/>
              <w:jc w:val="center"/>
              <w:rPr>
                <w:rFonts w:ascii="方正大黑简体" w:eastAsia="方正大黑简体" w:cs="方正大黑简体"/>
                <w:szCs w:val="24"/>
              </w:rPr>
            </w:pPr>
          </w:p>
          <w:p>
            <w:pPr>
              <w:pStyle w:val="4"/>
              <w:widowControl/>
              <w:wordWrap w:val="0"/>
              <w:spacing w:beforeAutospacing="1" w:afterAutospacing="1"/>
              <w:jc w:val="center"/>
              <w:rPr>
                <w:rFonts w:ascii="方正大黑简体" w:eastAsia="方正大黑简体" w:cs="方正大黑简体"/>
                <w:szCs w:val="24"/>
              </w:rPr>
            </w:pPr>
          </w:p>
          <w:p>
            <w:pPr>
              <w:pStyle w:val="4"/>
              <w:widowControl/>
              <w:wordWrap w:val="0"/>
              <w:spacing w:beforeAutospacing="1" w:afterAutospacing="1"/>
              <w:jc w:val="center"/>
              <w:rPr>
                <w:rFonts w:ascii="方正大黑简体" w:eastAsia="方正大黑简体" w:cs="方正大黑简体"/>
                <w:szCs w:val="24"/>
              </w:rPr>
            </w:pPr>
            <w:r>
              <w:rPr>
                <w:rFonts w:hint="eastAsia" w:ascii="方正大黑简体" w:eastAsia="方正大黑简体" w:cs="方正大黑简体"/>
                <w:szCs w:val="24"/>
              </w:rPr>
              <w:t>履职行为</w:t>
            </w:r>
          </w:p>
          <w:p>
            <w:pPr>
              <w:pStyle w:val="4"/>
              <w:widowControl/>
              <w:wordWrap w:val="0"/>
              <w:spacing w:beforeAutospacing="1" w:afterAutospacing="1"/>
              <w:jc w:val="center"/>
              <w:rPr>
                <w:rFonts w:ascii="方正大黑简体" w:eastAsia="方正大黑简体" w:cs="方正大黑简体"/>
                <w:szCs w:val="24"/>
              </w:rPr>
            </w:pPr>
          </w:p>
          <w:p>
            <w:pPr>
              <w:pStyle w:val="4"/>
              <w:widowControl/>
              <w:wordWrap w:val="0"/>
              <w:spacing w:beforeAutospacing="1" w:afterAutospacing="1"/>
              <w:jc w:val="center"/>
              <w:rPr>
                <w:rFonts w:ascii="方正大黑简体" w:eastAsia="方正大黑简体" w:cs="方正大黑简体"/>
                <w:szCs w:val="24"/>
              </w:rPr>
            </w:pPr>
          </w:p>
          <w:p>
            <w:pPr>
              <w:pStyle w:val="4"/>
              <w:widowControl/>
              <w:wordWrap w:val="0"/>
              <w:spacing w:beforeAutospacing="1" w:afterAutospacing="1"/>
              <w:jc w:val="center"/>
              <w:rPr>
                <w:rFonts w:ascii="方正大黑简体" w:eastAsia="方正大黑简体" w:cs="方正大黑简体"/>
                <w:szCs w:val="24"/>
              </w:rPr>
            </w:pPr>
          </w:p>
          <w:p>
            <w:pPr>
              <w:pStyle w:val="4"/>
              <w:widowControl/>
              <w:wordWrap w:val="0"/>
              <w:spacing w:beforeAutospacing="1" w:afterAutospacing="1"/>
              <w:jc w:val="center"/>
              <w:rPr>
                <w:rFonts w:ascii="方正大黑简体" w:eastAsia="方正大黑简体" w:cs="方正大黑简体"/>
                <w:szCs w:val="24"/>
              </w:rPr>
            </w:pPr>
          </w:p>
          <w:p>
            <w:pPr>
              <w:pStyle w:val="4"/>
              <w:widowControl/>
              <w:wordWrap w:val="0"/>
              <w:spacing w:beforeAutospacing="1" w:afterAutospacing="1"/>
              <w:jc w:val="center"/>
              <w:rPr>
                <w:rFonts w:ascii="方正大黑简体" w:eastAsia="方正大黑简体" w:cs="方正大黑简体"/>
                <w:szCs w:val="24"/>
              </w:rPr>
            </w:pPr>
          </w:p>
          <w:p>
            <w:pPr>
              <w:pStyle w:val="4"/>
              <w:widowControl/>
              <w:wordWrap w:val="0"/>
              <w:spacing w:beforeAutospacing="1" w:afterAutospacing="1"/>
              <w:jc w:val="center"/>
              <w:rPr>
                <w:rFonts w:ascii="方正大黑简体" w:eastAsia="方正大黑简体" w:cs="方正大黑简体"/>
                <w:szCs w:val="24"/>
              </w:rPr>
            </w:pPr>
          </w:p>
          <w:p>
            <w:pPr>
              <w:pStyle w:val="4"/>
              <w:widowControl/>
              <w:wordWrap w:val="0"/>
              <w:spacing w:beforeAutospacing="1" w:afterAutospacing="1"/>
              <w:jc w:val="center"/>
              <w:rPr>
                <w:rFonts w:ascii="方正大黑简体" w:eastAsia="方正大黑简体" w:cs="方正大黑简体"/>
                <w:szCs w:val="24"/>
              </w:rPr>
            </w:pPr>
          </w:p>
          <w:p>
            <w:pPr>
              <w:pStyle w:val="4"/>
              <w:widowControl/>
              <w:wordWrap w:val="0"/>
              <w:spacing w:beforeAutospacing="1" w:afterAutospacing="1"/>
              <w:jc w:val="center"/>
              <w:rPr>
                <w:rFonts w:ascii="方正大黑简体" w:eastAsia="方正大黑简体" w:cs="方正大黑简体"/>
                <w:szCs w:val="24"/>
              </w:rPr>
            </w:pPr>
            <w:r>
              <w:rPr>
                <w:rFonts w:hint="eastAsia" w:ascii="方正大黑简体" w:eastAsia="方正大黑简体" w:cs="方正大黑简体"/>
                <w:szCs w:val="24"/>
              </w:rPr>
              <w:t>履职行为</w:t>
            </w:r>
          </w:p>
        </w:tc>
        <w:tc>
          <w:tcPr>
            <w:tcW w:w="562" w:type="dxa"/>
            <w:vMerge w:val="restart"/>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pPr>
              <w:pStyle w:val="4"/>
              <w:widowControl/>
              <w:wordWrap w:val="0"/>
              <w:spacing w:beforeAutospacing="1"/>
              <w:jc w:val="center"/>
              <w:rPr>
                <w:rFonts w:ascii="Times New Roman" w:hAnsi="Times New Roman" w:eastAsia="微软雅黑" w:cs="Times New Roman"/>
                <w:szCs w:val="24"/>
              </w:rPr>
            </w:pPr>
          </w:p>
          <w:p>
            <w:pPr>
              <w:pStyle w:val="4"/>
              <w:widowControl/>
              <w:wordWrap w:val="0"/>
              <w:spacing w:beforeAutospacing="1"/>
              <w:jc w:val="center"/>
              <w:rPr>
                <w:rFonts w:ascii="Times New Roman" w:hAnsi="Times New Roman" w:eastAsia="微软雅黑" w:cs="Times New Roman"/>
                <w:szCs w:val="24"/>
              </w:rPr>
            </w:pPr>
          </w:p>
          <w:p>
            <w:pPr>
              <w:pStyle w:val="4"/>
              <w:widowControl/>
              <w:wordWrap w:val="0"/>
              <w:spacing w:beforeAutospacing="1"/>
              <w:jc w:val="center"/>
              <w:rPr>
                <w:rFonts w:ascii="Times New Roman" w:hAnsi="Times New Roman" w:eastAsia="微软雅黑" w:cs="Times New Roman"/>
                <w:szCs w:val="24"/>
              </w:rPr>
            </w:pPr>
          </w:p>
          <w:p>
            <w:pPr>
              <w:pStyle w:val="4"/>
              <w:widowControl/>
              <w:wordWrap w:val="0"/>
              <w:spacing w:beforeAutospacing="1"/>
              <w:jc w:val="center"/>
              <w:rPr>
                <w:rFonts w:ascii="Times New Roman" w:hAnsi="Times New Roman" w:eastAsia="微软雅黑" w:cs="Times New Roman"/>
                <w:szCs w:val="24"/>
              </w:rPr>
            </w:pPr>
          </w:p>
          <w:p>
            <w:pPr>
              <w:pStyle w:val="4"/>
              <w:widowControl/>
              <w:wordWrap w:val="0"/>
              <w:spacing w:beforeAutospacing="1"/>
              <w:jc w:val="center"/>
              <w:rPr>
                <w:rFonts w:ascii="Times New Roman" w:hAnsi="Times New Roman" w:eastAsia="微软雅黑" w:cs="Times New Roman"/>
                <w:szCs w:val="24"/>
              </w:rPr>
            </w:pPr>
          </w:p>
          <w:p>
            <w:pPr>
              <w:pStyle w:val="4"/>
              <w:widowControl/>
              <w:wordWrap w:val="0"/>
              <w:spacing w:beforeAutospacing="1"/>
              <w:jc w:val="center"/>
              <w:rPr>
                <w:rFonts w:ascii="Times New Roman" w:hAnsi="Times New Roman" w:eastAsia="微软雅黑" w:cs="Times New Roman"/>
                <w:szCs w:val="24"/>
              </w:rPr>
            </w:pPr>
          </w:p>
          <w:p>
            <w:pPr>
              <w:pStyle w:val="4"/>
              <w:widowControl/>
              <w:wordWrap w:val="0"/>
              <w:spacing w:beforeAutospacing="1"/>
              <w:jc w:val="center"/>
              <w:rPr>
                <w:rFonts w:ascii="Times New Roman" w:hAnsi="Times New Roman" w:eastAsia="微软雅黑" w:cs="Times New Roman"/>
                <w:szCs w:val="24"/>
              </w:rPr>
            </w:pPr>
          </w:p>
          <w:p>
            <w:pPr>
              <w:pStyle w:val="4"/>
              <w:widowControl/>
              <w:wordWrap w:val="0"/>
              <w:spacing w:beforeAutospacing="1"/>
              <w:jc w:val="center"/>
              <w:rPr>
                <w:rFonts w:ascii="Times New Roman" w:hAnsi="Times New Roman" w:eastAsia="微软雅黑" w:cs="Times New Roman"/>
                <w:szCs w:val="24"/>
              </w:rPr>
            </w:pPr>
          </w:p>
          <w:p>
            <w:pPr>
              <w:pStyle w:val="4"/>
              <w:widowControl/>
              <w:wordWrap w:val="0"/>
              <w:spacing w:beforeAutospacing="1"/>
              <w:jc w:val="center"/>
              <w:rPr>
                <w:rFonts w:ascii="Times New Roman" w:hAnsi="Times New Roman" w:eastAsia="微软雅黑" w:cs="Times New Roman"/>
                <w:szCs w:val="24"/>
              </w:rPr>
            </w:pPr>
          </w:p>
          <w:p>
            <w:pPr>
              <w:pStyle w:val="4"/>
              <w:widowControl/>
              <w:wordWrap w:val="0"/>
              <w:spacing w:beforeAutospacing="1"/>
              <w:jc w:val="center"/>
              <w:rPr>
                <w:rFonts w:ascii="Times New Roman" w:hAnsi="Times New Roman" w:eastAsia="微软雅黑" w:cs="Times New Roman"/>
                <w:szCs w:val="24"/>
              </w:rPr>
            </w:pPr>
            <w:r>
              <w:rPr>
                <w:rFonts w:hint="eastAsia" w:ascii="Times New Roman" w:hAnsi="Times New Roman" w:eastAsia="微软雅黑" w:cs="Times New Roman"/>
                <w:szCs w:val="24"/>
              </w:rPr>
              <w:t>80</w:t>
            </w:r>
          </w:p>
          <w:p>
            <w:pPr>
              <w:pStyle w:val="4"/>
              <w:widowControl/>
              <w:wordWrap w:val="0"/>
              <w:spacing w:beforeAutospacing="1"/>
              <w:jc w:val="center"/>
              <w:rPr>
                <w:rFonts w:ascii="Times New Roman" w:hAnsi="Times New Roman" w:eastAsia="微软雅黑" w:cs="Times New Roman"/>
                <w:szCs w:val="24"/>
              </w:rPr>
            </w:pPr>
          </w:p>
          <w:p>
            <w:pPr>
              <w:pStyle w:val="4"/>
              <w:widowControl/>
              <w:wordWrap w:val="0"/>
              <w:spacing w:beforeAutospacing="1"/>
              <w:jc w:val="center"/>
              <w:rPr>
                <w:rFonts w:ascii="Times New Roman" w:hAnsi="Times New Roman" w:eastAsia="微软雅黑" w:cs="Times New Roman"/>
                <w:szCs w:val="24"/>
              </w:rPr>
            </w:pPr>
          </w:p>
          <w:p>
            <w:pPr>
              <w:pStyle w:val="4"/>
              <w:widowControl/>
              <w:wordWrap w:val="0"/>
              <w:spacing w:beforeAutospacing="1"/>
              <w:jc w:val="center"/>
              <w:rPr>
                <w:rFonts w:ascii="Times New Roman" w:hAnsi="Times New Roman" w:eastAsia="微软雅黑" w:cs="Times New Roman"/>
                <w:szCs w:val="24"/>
              </w:rPr>
            </w:pPr>
          </w:p>
          <w:p>
            <w:pPr>
              <w:pStyle w:val="4"/>
              <w:widowControl/>
              <w:wordWrap w:val="0"/>
              <w:spacing w:beforeAutospacing="1"/>
              <w:jc w:val="center"/>
              <w:rPr>
                <w:rFonts w:ascii="Times New Roman" w:hAnsi="Times New Roman" w:eastAsia="微软雅黑" w:cs="Times New Roman"/>
                <w:szCs w:val="24"/>
              </w:rPr>
            </w:pPr>
          </w:p>
          <w:p>
            <w:pPr>
              <w:pStyle w:val="4"/>
              <w:widowControl/>
              <w:wordWrap w:val="0"/>
              <w:spacing w:beforeAutospacing="1"/>
              <w:jc w:val="center"/>
              <w:rPr>
                <w:rFonts w:ascii="Times New Roman" w:hAnsi="Times New Roman" w:eastAsia="微软雅黑" w:cs="Times New Roman"/>
                <w:szCs w:val="24"/>
              </w:rPr>
            </w:pPr>
          </w:p>
          <w:p>
            <w:pPr>
              <w:pStyle w:val="4"/>
              <w:widowControl/>
              <w:wordWrap w:val="0"/>
              <w:spacing w:beforeAutospacing="1"/>
              <w:jc w:val="center"/>
              <w:rPr>
                <w:rFonts w:ascii="Times New Roman" w:hAnsi="Times New Roman" w:eastAsia="微软雅黑" w:cs="Times New Roman"/>
                <w:szCs w:val="24"/>
              </w:rPr>
            </w:pPr>
          </w:p>
          <w:p>
            <w:pPr>
              <w:pStyle w:val="4"/>
              <w:widowControl/>
              <w:wordWrap w:val="0"/>
              <w:spacing w:beforeAutospacing="1"/>
              <w:jc w:val="center"/>
              <w:rPr>
                <w:rFonts w:ascii="Times New Roman" w:hAnsi="Times New Roman" w:eastAsia="微软雅黑" w:cs="Times New Roman"/>
                <w:szCs w:val="24"/>
              </w:rPr>
            </w:pPr>
          </w:p>
          <w:p>
            <w:pPr>
              <w:pStyle w:val="4"/>
              <w:widowControl/>
              <w:wordWrap w:val="0"/>
              <w:spacing w:beforeAutospacing="1"/>
              <w:jc w:val="center"/>
              <w:rPr>
                <w:rFonts w:ascii="Times New Roman" w:hAnsi="Times New Roman" w:eastAsia="微软雅黑" w:cs="Times New Roman"/>
                <w:szCs w:val="24"/>
              </w:rPr>
            </w:pPr>
          </w:p>
          <w:p>
            <w:pPr>
              <w:pStyle w:val="4"/>
              <w:widowControl/>
              <w:wordWrap w:val="0"/>
              <w:spacing w:beforeAutospacing="1"/>
              <w:jc w:val="center"/>
              <w:rPr>
                <w:rFonts w:ascii="Times New Roman" w:hAnsi="Times New Roman" w:eastAsia="微软雅黑" w:cs="Times New Roman"/>
                <w:szCs w:val="24"/>
              </w:rPr>
            </w:pPr>
          </w:p>
          <w:p>
            <w:pPr>
              <w:pStyle w:val="4"/>
              <w:widowControl/>
              <w:wordWrap w:val="0"/>
              <w:spacing w:beforeAutospacing="1"/>
              <w:jc w:val="center"/>
              <w:rPr>
                <w:rFonts w:ascii="Times New Roman" w:hAnsi="Times New Roman" w:eastAsia="微软雅黑" w:cs="Times New Roman"/>
                <w:szCs w:val="24"/>
              </w:rPr>
            </w:pPr>
          </w:p>
          <w:p>
            <w:pPr>
              <w:pStyle w:val="4"/>
              <w:widowControl/>
              <w:wordWrap w:val="0"/>
              <w:spacing w:beforeAutospacing="1"/>
              <w:jc w:val="center"/>
              <w:rPr>
                <w:rFonts w:ascii="Times New Roman" w:hAnsi="Times New Roman" w:eastAsia="微软雅黑" w:cs="Times New Roman"/>
                <w:szCs w:val="24"/>
              </w:rPr>
            </w:pPr>
          </w:p>
          <w:p>
            <w:pPr>
              <w:pStyle w:val="4"/>
              <w:widowControl/>
              <w:wordWrap w:val="0"/>
              <w:spacing w:beforeAutospacing="1"/>
              <w:jc w:val="center"/>
              <w:rPr>
                <w:rFonts w:ascii="Times New Roman" w:hAnsi="Times New Roman" w:eastAsia="微软雅黑" w:cs="Times New Roman"/>
                <w:szCs w:val="24"/>
              </w:rPr>
            </w:pPr>
          </w:p>
          <w:p>
            <w:pPr>
              <w:pStyle w:val="4"/>
              <w:widowControl/>
              <w:wordWrap w:val="0"/>
              <w:spacing w:beforeAutospacing="1"/>
              <w:jc w:val="center"/>
              <w:rPr>
                <w:rFonts w:ascii="Times New Roman" w:hAnsi="Times New Roman" w:eastAsia="微软雅黑" w:cs="Times New Roman"/>
                <w:szCs w:val="24"/>
              </w:rPr>
            </w:pPr>
          </w:p>
          <w:p>
            <w:pPr>
              <w:pStyle w:val="4"/>
              <w:widowControl/>
              <w:wordWrap w:val="0"/>
              <w:spacing w:beforeAutospacing="1"/>
              <w:rPr>
                <w:rFonts w:ascii="Times New Roman" w:hAnsi="Times New Roman" w:eastAsia="微软雅黑" w:cs="Times New Roman"/>
                <w:szCs w:val="24"/>
              </w:rPr>
            </w:pPr>
          </w:p>
          <w:p>
            <w:pPr>
              <w:pStyle w:val="4"/>
              <w:widowControl/>
              <w:wordWrap w:val="0"/>
              <w:spacing w:beforeAutospacing="1"/>
              <w:jc w:val="center"/>
              <w:rPr>
                <w:rFonts w:ascii="Times New Roman" w:hAnsi="Times New Roman" w:eastAsia="微软雅黑" w:cs="Times New Roman"/>
                <w:szCs w:val="24"/>
              </w:rPr>
            </w:pPr>
          </w:p>
          <w:p>
            <w:pPr>
              <w:pStyle w:val="4"/>
              <w:widowControl/>
              <w:wordWrap w:val="0"/>
              <w:spacing w:beforeAutospacing="1"/>
              <w:jc w:val="center"/>
              <w:rPr>
                <w:rFonts w:ascii="Times New Roman" w:hAnsi="Times New Roman" w:eastAsia="微软雅黑" w:cs="Times New Roman"/>
                <w:szCs w:val="24"/>
              </w:rPr>
            </w:pPr>
          </w:p>
          <w:p>
            <w:pPr>
              <w:pStyle w:val="4"/>
              <w:widowControl/>
              <w:wordWrap w:val="0"/>
              <w:spacing w:beforeAutospacing="1"/>
              <w:jc w:val="center"/>
              <w:rPr>
                <w:szCs w:val="24"/>
              </w:rPr>
            </w:pPr>
            <w:r>
              <w:rPr>
                <w:rFonts w:ascii="Times New Roman" w:hAnsi="Times New Roman" w:eastAsia="微软雅黑" w:cs="Times New Roman"/>
                <w:szCs w:val="24"/>
              </w:rPr>
              <w:t>80</w:t>
            </w:r>
          </w:p>
          <w:p>
            <w:pPr>
              <w:pStyle w:val="4"/>
              <w:widowControl/>
              <w:wordWrap w:val="0"/>
              <w:spacing w:beforeAutospacing="1"/>
              <w:jc w:val="center"/>
              <w:rPr>
                <w:szCs w:val="24"/>
              </w:rPr>
            </w:pPr>
          </w:p>
          <w:p>
            <w:pPr>
              <w:pStyle w:val="4"/>
              <w:widowControl/>
              <w:wordWrap w:val="0"/>
              <w:spacing w:beforeAutospacing="1" w:afterAutospacing="1"/>
              <w:jc w:val="center"/>
              <w:rPr>
                <w:szCs w:val="24"/>
              </w:rPr>
            </w:pPr>
          </w:p>
        </w:tc>
        <w:tc>
          <w:tcPr>
            <w:tcW w:w="855" w:type="dxa"/>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pPr>
              <w:pStyle w:val="4"/>
              <w:widowControl/>
              <w:wordWrap w:val="0"/>
              <w:spacing w:beforeAutospacing="1"/>
              <w:rPr>
                <w:rFonts w:ascii="宋体" w:eastAsia="宋体" w:cs="宋体"/>
                <w:color w:val="000000" w:themeColor="text1"/>
                <w:szCs w:val="24"/>
              </w:rPr>
            </w:pPr>
            <w:r>
              <w:rPr>
                <w:rFonts w:ascii="宋体" w:eastAsia="宋体" w:cs="宋体"/>
                <w:color w:val="000000" w:themeColor="text1"/>
                <w:szCs w:val="24"/>
              </w:rPr>
              <w:t>历史良好行为评价</w:t>
            </w:r>
          </w:p>
        </w:tc>
        <w:tc>
          <w:tcPr>
            <w:tcW w:w="2382" w:type="dxa"/>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pPr>
              <w:pStyle w:val="4"/>
              <w:widowControl/>
              <w:wordWrap w:val="0"/>
              <w:spacing w:beforeAutospacing="1"/>
              <w:rPr>
                <w:rFonts w:ascii="宋体" w:eastAsia="宋体" w:cs="宋体"/>
                <w:color w:val="000000" w:themeColor="text1"/>
                <w:szCs w:val="24"/>
              </w:rPr>
            </w:pPr>
          </w:p>
          <w:p>
            <w:pPr>
              <w:pStyle w:val="4"/>
              <w:widowControl/>
              <w:wordWrap w:val="0"/>
              <w:spacing w:beforeAutospacing="1"/>
              <w:rPr>
                <w:rFonts w:ascii="宋体" w:eastAsia="宋体" w:cs="宋体"/>
                <w:color w:val="000000" w:themeColor="text1"/>
                <w:szCs w:val="24"/>
              </w:rPr>
            </w:pPr>
            <w:r>
              <w:rPr>
                <w:rFonts w:ascii="宋体" w:eastAsia="宋体" w:cs="宋体"/>
                <w:color w:val="000000" w:themeColor="text1"/>
                <w:szCs w:val="24"/>
              </w:rPr>
              <w:t>广西建筑市场监管与诚信信息一体化平台系统自动统计在</w:t>
            </w:r>
            <w:r>
              <w:rPr>
                <w:rFonts w:hint="eastAsia" w:ascii="宋体" w:eastAsia="宋体" w:cs="宋体"/>
                <w:color w:val="000000" w:themeColor="text1"/>
                <w:szCs w:val="24"/>
              </w:rPr>
              <w:t>柳州</w:t>
            </w:r>
            <w:r>
              <w:rPr>
                <w:rFonts w:ascii="宋体" w:eastAsia="宋体" w:cs="宋体"/>
                <w:color w:val="000000" w:themeColor="text1"/>
                <w:szCs w:val="24"/>
              </w:rPr>
              <w:t>上一年度招标代理项目宗数排名前10名，且在本季度内无不良行为评价记录的代理企业</w:t>
            </w:r>
          </w:p>
          <w:p>
            <w:pPr>
              <w:pStyle w:val="4"/>
              <w:widowControl/>
              <w:wordWrap w:val="0"/>
              <w:spacing w:beforeAutospacing="1"/>
              <w:rPr>
                <w:rFonts w:ascii="宋体" w:eastAsia="宋体" w:cs="宋体"/>
                <w:color w:val="000000" w:themeColor="text1"/>
                <w:szCs w:val="24"/>
              </w:rPr>
            </w:pPr>
          </w:p>
        </w:tc>
        <w:tc>
          <w:tcPr>
            <w:tcW w:w="2643" w:type="dxa"/>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pPr>
              <w:pStyle w:val="4"/>
              <w:widowControl/>
              <w:wordWrap w:val="0"/>
              <w:spacing w:beforeAutospacing="1"/>
              <w:rPr>
                <w:rFonts w:ascii="宋体" w:eastAsia="宋体" w:cs="宋体"/>
                <w:color w:val="000000" w:themeColor="text1"/>
                <w:szCs w:val="24"/>
              </w:rPr>
            </w:pPr>
            <w:r>
              <w:rPr>
                <w:rFonts w:ascii="宋体" w:eastAsia="宋体" w:cs="宋体"/>
                <w:color w:val="000000" w:themeColor="text1"/>
                <w:szCs w:val="24"/>
              </w:rPr>
              <w:t>在</w:t>
            </w:r>
            <w:r>
              <w:rPr>
                <w:rFonts w:hint="eastAsia" w:ascii="宋体" w:eastAsia="宋体" w:cs="宋体"/>
                <w:color w:val="000000" w:themeColor="text1"/>
                <w:szCs w:val="24"/>
              </w:rPr>
              <w:t>柳州</w:t>
            </w:r>
            <w:r>
              <w:rPr>
                <w:rFonts w:ascii="宋体" w:eastAsia="宋体" w:cs="宋体"/>
                <w:color w:val="000000" w:themeColor="text1"/>
                <w:szCs w:val="24"/>
              </w:rPr>
              <w:t>上一年度累计招标代理项目宗数排名前10名，且本季度内公开招标代理项目无不良行为评价记录的</w:t>
            </w:r>
          </w:p>
          <w:p>
            <w:pPr>
              <w:pStyle w:val="4"/>
              <w:widowControl/>
              <w:wordWrap w:val="0"/>
              <w:spacing w:beforeAutospacing="1"/>
              <w:rPr>
                <w:rFonts w:ascii="宋体" w:eastAsia="宋体" w:cs="宋体"/>
                <w:color w:val="000000" w:themeColor="text1"/>
                <w:szCs w:val="24"/>
              </w:rPr>
            </w:pPr>
          </w:p>
        </w:tc>
        <w:tc>
          <w:tcPr>
            <w:tcW w:w="923" w:type="dxa"/>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pPr>
              <w:pStyle w:val="4"/>
              <w:widowControl/>
              <w:wordWrap w:val="0"/>
              <w:spacing w:beforeAutospacing="1" w:afterAutospacing="1"/>
              <w:jc w:val="center"/>
              <w:rPr>
                <w:rFonts w:ascii="Calibri" w:hAnsi="Calibri" w:eastAsia="宋体" w:cs="Times New Roman"/>
                <w:szCs w:val="24"/>
              </w:rPr>
            </w:pPr>
            <w:r>
              <w:rPr>
                <w:rFonts w:hint="eastAsia" w:ascii="Times New Roman" w:hAnsi="Times New Roman" w:eastAsia="微软雅黑" w:cs="Times New Roman"/>
                <w:szCs w:val="24"/>
              </w:rPr>
              <w:t>5</w:t>
            </w:r>
          </w:p>
        </w:tc>
      </w:tr>
      <w:tr>
        <w:tblPrEx>
          <w:tblBorders>
            <w:top w:val="single" w:color="CCCCCC" w:sz="6" w:space="0"/>
            <w:left w:val="single" w:color="CCCCCC" w:sz="6" w:space="0"/>
            <w:bottom w:val="single" w:color="CCCCCC" w:sz="6" w:space="0"/>
            <w:right w:val="single" w:color="CCCCCC" w:sz="6" w:space="0"/>
            <w:insideH w:val="outset" w:color="auto" w:sz="6" w:space="0"/>
            <w:insideV w:val="outset" w:color="auto" w:sz="6" w:space="0"/>
          </w:tblBorders>
          <w:tblCellMar>
            <w:top w:w="105" w:type="dxa"/>
            <w:left w:w="105" w:type="dxa"/>
            <w:bottom w:w="105" w:type="dxa"/>
            <w:right w:w="105" w:type="dxa"/>
          </w:tblCellMar>
        </w:tblPrEx>
        <w:trPr>
          <w:trHeight w:val="1331" w:hRule="atLeast"/>
          <w:tblCellSpacing w:w="0" w:type="dxa"/>
          <w:jc w:val="center"/>
        </w:trPr>
        <w:tc>
          <w:tcPr>
            <w:tcW w:w="562" w:type="dxa"/>
            <w:vMerge w:val="continue"/>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tc>
        <w:tc>
          <w:tcPr>
            <w:tcW w:w="644" w:type="dxa"/>
            <w:vMerge w:val="continue"/>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tc>
        <w:tc>
          <w:tcPr>
            <w:tcW w:w="562" w:type="dxa"/>
            <w:vMerge w:val="continue"/>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tc>
        <w:tc>
          <w:tcPr>
            <w:tcW w:w="855" w:type="dxa"/>
            <w:vMerge w:val="restart"/>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pPr>
              <w:pStyle w:val="4"/>
              <w:widowControl/>
              <w:wordWrap w:val="0"/>
              <w:spacing w:beforeAutospacing="1"/>
              <w:rPr>
                <w:rFonts w:ascii="宋体" w:eastAsia="宋体" w:cs="宋体"/>
                <w:color w:val="000000" w:themeColor="text1"/>
                <w:szCs w:val="24"/>
              </w:rPr>
            </w:pPr>
          </w:p>
          <w:p>
            <w:pPr>
              <w:pStyle w:val="4"/>
              <w:widowControl/>
              <w:wordWrap w:val="0"/>
              <w:spacing w:beforeAutospacing="1"/>
              <w:rPr>
                <w:rFonts w:ascii="宋体" w:eastAsia="宋体" w:cs="宋体"/>
                <w:color w:val="000000" w:themeColor="text1"/>
                <w:szCs w:val="24"/>
              </w:rPr>
            </w:pPr>
            <w:r>
              <w:rPr>
                <w:rFonts w:ascii="宋体" w:eastAsia="宋体" w:cs="宋体"/>
                <w:color w:val="000000" w:themeColor="text1"/>
                <w:szCs w:val="24"/>
              </w:rPr>
              <w:t>通报</w:t>
            </w:r>
          </w:p>
          <w:p>
            <w:pPr>
              <w:pStyle w:val="4"/>
              <w:widowControl/>
              <w:wordWrap w:val="0"/>
              <w:spacing w:beforeAutospacing="1"/>
              <w:rPr>
                <w:rFonts w:ascii="宋体" w:eastAsia="宋体" w:cs="宋体"/>
                <w:color w:val="000000" w:themeColor="text1"/>
                <w:szCs w:val="24"/>
              </w:rPr>
            </w:pPr>
          </w:p>
          <w:p>
            <w:pPr>
              <w:pStyle w:val="4"/>
              <w:widowControl/>
              <w:wordWrap w:val="0"/>
              <w:spacing w:beforeAutospacing="1"/>
              <w:rPr>
                <w:rFonts w:ascii="宋体" w:eastAsia="宋体" w:cs="宋体"/>
                <w:color w:val="000000" w:themeColor="text1"/>
                <w:szCs w:val="24"/>
              </w:rPr>
            </w:pPr>
            <w:r>
              <w:rPr>
                <w:rFonts w:ascii="宋体" w:eastAsia="宋体" w:cs="宋体"/>
                <w:color w:val="000000" w:themeColor="text1"/>
                <w:szCs w:val="24"/>
              </w:rPr>
              <w:t>表彰</w:t>
            </w:r>
          </w:p>
        </w:tc>
        <w:tc>
          <w:tcPr>
            <w:tcW w:w="2382" w:type="dxa"/>
            <w:vMerge w:val="restart"/>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pPr>
              <w:pStyle w:val="4"/>
              <w:widowControl/>
              <w:wordWrap w:val="0"/>
              <w:spacing w:beforeAutospacing="1"/>
              <w:rPr>
                <w:rFonts w:ascii="宋体" w:eastAsia="宋体" w:cs="宋体"/>
                <w:color w:val="000000" w:themeColor="text1"/>
                <w:szCs w:val="24"/>
              </w:rPr>
            </w:pPr>
            <w:r>
              <w:rPr>
                <w:rFonts w:ascii="宋体" w:eastAsia="宋体" w:cs="宋体"/>
                <w:color w:val="000000" w:themeColor="text1"/>
                <w:szCs w:val="24"/>
              </w:rPr>
              <w:t>招标代理机构在广西建筑市场监管与诚信信息一体化平台中录入的证明文件</w:t>
            </w:r>
          </w:p>
        </w:tc>
        <w:tc>
          <w:tcPr>
            <w:tcW w:w="2643" w:type="dxa"/>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pPr>
              <w:pStyle w:val="4"/>
              <w:widowControl/>
              <w:wordWrap w:val="0"/>
              <w:spacing w:beforeAutospacing="1"/>
              <w:rPr>
                <w:rFonts w:ascii="宋体" w:eastAsia="宋体" w:cs="宋体"/>
                <w:color w:val="000000" w:themeColor="text1"/>
                <w:szCs w:val="24"/>
              </w:rPr>
            </w:pPr>
            <w:r>
              <w:rPr>
                <w:rFonts w:ascii="宋体" w:eastAsia="宋体" w:cs="宋体"/>
                <w:color w:val="000000" w:themeColor="text1"/>
                <w:szCs w:val="24"/>
              </w:rPr>
              <w:t>每次受到自治区住房城乡建设主管部门通报表彰得分</w:t>
            </w:r>
          </w:p>
        </w:tc>
        <w:tc>
          <w:tcPr>
            <w:tcW w:w="923" w:type="dxa"/>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pPr>
              <w:pStyle w:val="4"/>
              <w:widowControl/>
              <w:wordWrap w:val="0"/>
              <w:spacing w:beforeAutospacing="1" w:afterAutospacing="1"/>
              <w:jc w:val="center"/>
              <w:rPr>
                <w:rFonts w:ascii="Times New Roman" w:hAnsi="Times New Roman" w:eastAsia="微软雅黑" w:cs="Times New Roman"/>
                <w:szCs w:val="24"/>
              </w:rPr>
            </w:pPr>
            <w:r>
              <w:rPr>
                <w:rFonts w:hint="eastAsia" w:ascii="Times New Roman" w:hAnsi="Times New Roman" w:eastAsia="微软雅黑" w:cs="Times New Roman"/>
                <w:szCs w:val="24"/>
              </w:rPr>
              <w:t>4</w:t>
            </w:r>
          </w:p>
        </w:tc>
      </w:tr>
      <w:tr>
        <w:tblPrEx>
          <w:tblBorders>
            <w:top w:val="single" w:color="CCCCCC" w:sz="6" w:space="0"/>
            <w:left w:val="single" w:color="CCCCCC" w:sz="6" w:space="0"/>
            <w:bottom w:val="single" w:color="CCCCCC" w:sz="6" w:space="0"/>
            <w:right w:val="single" w:color="CCCCCC" w:sz="6" w:space="0"/>
            <w:insideH w:val="outset" w:color="auto" w:sz="6" w:space="0"/>
            <w:insideV w:val="outset" w:color="auto" w:sz="6" w:space="0"/>
          </w:tblBorders>
          <w:tblCellMar>
            <w:top w:w="105" w:type="dxa"/>
            <w:left w:w="105" w:type="dxa"/>
            <w:bottom w:w="105" w:type="dxa"/>
            <w:right w:w="105" w:type="dxa"/>
          </w:tblCellMar>
        </w:tblPrEx>
        <w:trPr>
          <w:trHeight w:val="1899" w:hRule="atLeast"/>
          <w:tblCellSpacing w:w="0" w:type="dxa"/>
          <w:jc w:val="center"/>
        </w:trPr>
        <w:tc>
          <w:tcPr>
            <w:tcW w:w="562" w:type="dxa"/>
            <w:vMerge w:val="continue"/>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tc>
        <w:tc>
          <w:tcPr>
            <w:tcW w:w="644" w:type="dxa"/>
            <w:vMerge w:val="continue"/>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tc>
        <w:tc>
          <w:tcPr>
            <w:tcW w:w="562" w:type="dxa"/>
            <w:vMerge w:val="continue"/>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tc>
        <w:tc>
          <w:tcPr>
            <w:tcW w:w="855" w:type="dxa"/>
            <w:vMerge w:val="continue"/>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pPr>
              <w:pStyle w:val="4"/>
              <w:widowControl/>
              <w:wordWrap w:val="0"/>
              <w:spacing w:beforeAutospacing="1"/>
              <w:rPr>
                <w:rFonts w:ascii="宋体" w:eastAsia="宋体" w:cs="宋体"/>
                <w:color w:val="000000" w:themeColor="text1"/>
                <w:szCs w:val="24"/>
              </w:rPr>
            </w:pPr>
          </w:p>
        </w:tc>
        <w:tc>
          <w:tcPr>
            <w:tcW w:w="2382" w:type="dxa"/>
            <w:vMerge w:val="continue"/>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pPr>
              <w:pStyle w:val="4"/>
              <w:widowControl/>
              <w:wordWrap w:val="0"/>
              <w:spacing w:beforeAutospacing="1"/>
              <w:rPr>
                <w:rFonts w:ascii="宋体" w:eastAsia="宋体" w:cs="宋体"/>
                <w:color w:val="000000" w:themeColor="text1"/>
                <w:szCs w:val="24"/>
              </w:rPr>
            </w:pPr>
          </w:p>
        </w:tc>
        <w:tc>
          <w:tcPr>
            <w:tcW w:w="2643" w:type="dxa"/>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pPr>
              <w:pStyle w:val="4"/>
              <w:widowControl/>
              <w:wordWrap w:val="0"/>
              <w:spacing w:beforeAutospacing="1"/>
              <w:rPr>
                <w:rFonts w:ascii="宋体" w:eastAsia="宋体" w:cs="宋体"/>
                <w:color w:val="000000" w:themeColor="text1"/>
                <w:szCs w:val="24"/>
              </w:rPr>
            </w:pPr>
            <w:r>
              <w:rPr>
                <w:rFonts w:ascii="宋体" w:eastAsia="宋体" w:cs="宋体"/>
                <w:color w:val="000000" w:themeColor="text1"/>
                <w:szCs w:val="24"/>
              </w:rPr>
              <w:t>每次受到市住房城乡建设主管部门</w:t>
            </w:r>
            <w:r>
              <w:rPr>
                <w:rFonts w:hint="eastAsia" w:ascii="宋体" w:eastAsia="宋体" w:cs="宋体"/>
                <w:color w:val="000000" w:themeColor="text1"/>
                <w:szCs w:val="24"/>
              </w:rPr>
              <w:t>、行业监管部门</w:t>
            </w:r>
            <w:r>
              <w:rPr>
                <w:rFonts w:ascii="宋体" w:eastAsia="宋体" w:cs="宋体"/>
                <w:color w:val="000000" w:themeColor="text1"/>
                <w:szCs w:val="24"/>
              </w:rPr>
              <w:t>或自治区行业协会通报表彰得分</w:t>
            </w:r>
          </w:p>
        </w:tc>
        <w:tc>
          <w:tcPr>
            <w:tcW w:w="923" w:type="dxa"/>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pPr>
              <w:pStyle w:val="4"/>
              <w:widowControl/>
              <w:wordWrap w:val="0"/>
              <w:spacing w:beforeAutospacing="1" w:afterAutospacing="1"/>
              <w:jc w:val="center"/>
              <w:rPr>
                <w:rFonts w:ascii="Times New Roman" w:hAnsi="Times New Roman" w:eastAsia="微软雅黑" w:cs="Times New Roman"/>
                <w:szCs w:val="24"/>
              </w:rPr>
            </w:pPr>
            <w:r>
              <w:rPr>
                <w:rFonts w:hint="eastAsia" w:ascii="Times New Roman" w:hAnsi="Times New Roman" w:eastAsia="微软雅黑" w:cs="Times New Roman"/>
                <w:szCs w:val="24"/>
              </w:rPr>
              <w:t>3</w:t>
            </w:r>
          </w:p>
        </w:tc>
      </w:tr>
      <w:tr>
        <w:tblPrEx>
          <w:tblBorders>
            <w:top w:val="single" w:color="CCCCCC" w:sz="6" w:space="0"/>
            <w:left w:val="single" w:color="CCCCCC" w:sz="6" w:space="0"/>
            <w:bottom w:val="single" w:color="CCCCCC" w:sz="6" w:space="0"/>
            <w:right w:val="single" w:color="CCCCCC" w:sz="6" w:space="0"/>
            <w:insideH w:val="outset" w:color="auto" w:sz="6" w:space="0"/>
            <w:insideV w:val="outset" w:color="auto" w:sz="6" w:space="0"/>
          </w:tblBorders>
          <w:tblCellMar>
            <w:top w:w="105" w:type="dxa"/>
            <w:left w:w="105" w:type="dxa"/>
            <w:bottom w:w="105" w:type="dxa"/>
            <w:right w:w="105" w:type="dxa"/>
          </w:tblCellMar>
        </w:tblPrEx>
        <w:trPr>
          <w:trHeight w:val="90" w:hRule="atLeast"/>
          <w:tblCellSpacing w:w="0" w:type="dxa"/>
          <w:jc w:val="center"/>
        </w:trPr>
        <w:tc>
          <w:tcPr>
            <w:tcW w:w="562" w:type="dxa"/>
            <w:vMerge w:val="continue"/>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tc>
        <w:tc>
          <w:tcPr>
            <w:tcW w:w="644" w:type="dxa"/>
            <w:vMerge w:val="continue"/>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tc>
        <w:tc>
          <w:tcPr>
            <w:tcW w:w="562" w:type="dxa"/>
            <w:vMerge w:val="continue"/>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tc>
        <w:tc>
          <w:tcPr>
            <w:tcW w:w="855" w:type="dxa"/>
            <w:vMerge w:val="continue"/>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pPr>
              <w:pStyle w:val="4"/>
              <w:widowControl/>
              <w:wordWrap w:val="0"/>
              <w:spacing w:beforeAutospacing="1"/>
              <w:rPr>
                <w:rFonts w:ascii="宋体" w:eastAsia="宋体" w:cs="宋体"/>
                <w:color w:val="000000" w:themeColor="text1"/>
                <w:szCs w:val="24"/>
              </w:rPr>
            </w:pPr>
          </w:p>
        </w:tc>
        <w:tc>
          <w:tcPr>
            <w:tcW w:w="2382" w:type="dxa"/>
            <w:vMerge w:val="continue"/>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pPr>
              <w:pStyle w:val="4"/>
              <w:widowControl/>
              <w:wordWrap w:val="0"/>
              <w:spacing w:beforeAutospacing="1"/>
              <w:rPr>
                <w:rFonts w:ascii="宋体" w:eastAsia="宋体" w:cs="宋体"/>
                <w:color w:val="000000" w:themeColor="text1"/>
                <w:szCs w:val="24"/>
              </w:rPr>
            </w:pPr>
          </w:p>
        </w:tc>
        <w:tc>
          <w:tcPr>
            <w:tcW w:w="2643" w:type="dxa"/>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pPr>
              <w:pStyle w:val="4"/>
              <w:widowControl/>
              <w:wordWrap w:val="0"/>
              <w:spacing w:beforeAutospacing="1"/>
              <w:rPr>
                <w:rFonts w:ascii="宋体" w:eastAsia="宋体" w:cs="宋体"/>
                <w:color w:val="000000" w:themeColor="text1"/>
                <w:szCs w:val="24"/>
              </w:rPr>
            </w:pPr>
            <w:r>
              <w:rPr>
                <w:rFonts w:ascii="宋体" w:eastAsia="宋体" w:cs="宋体"/>
                <w:color w:val="000000" w:themeColor="text1"/>
                <w:szCs w:val="24"/>
              </w:rPr>
              <w:t>每次受到市级行业协会通报表彰得分</w:t>
            </w:r>
          </w:p>
        </w:tc>
        <w:tc>
          <w:tcPr>
            <w:tcW w:w="923" w:type="dxa"/>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pPr>
              <w:pStyle w:val="4"/>
              <w:widowControl/>
              <w:wordWrap w:val="0"/>
              <w:spacing w:beforeAutospacing="1" w:afterAutospacing="1"/>
              <w:jc w:val="center"/>
              <w:rPr>
                <w:rFonts w:ascii="Times New Roman" w:hAnsi="Times New Roman" w:eastAsia="微软雅黑" w:cs="Times New Roman"/>
                <w:color w:val="C00000"/>
                <w:szCs w:val="24"/>
              </w:rPr>
            </w:pPr>
            <w:r>
              <w:rPr>
                <w:rFonts w:hint="eastAsia" w:ascii="Times New Roman" w:hAnsi="Times New Roman" w:eastAsia="微软雅黑" w:cs="Times New Roman"/>
                <w:szCs w:val="24"/>
              </w:rPr>
              <w:t>1</w:t>
            </w:r>
          </w:p>
        </w:tc>
      </w:tr>
      <w:tr>
        <w:tblPrEx>
          <w:tblBorders>
            <w:top w:val="single" w:color="CCCCCC" w:sz="6" w:space="0"/>
            <w:left w:val="single" w:color="CCCCCC" w:sz="6" w:space="0"/>
            <w:bottom w:val="single" w:color="CCCCCC" w:sz="6" w:space="0"/>
            <w:right w:val="single" w:color="CCCCCC" w:sz="6" w:space="0"/>
            <w:insideH w:val="outset" w:color="auto" w:sz="6" w:space="0"/>
            <w:insideV w:val="outset" w:color="auto" w:sz="6" w:space="0"/>
          </w:tblBorders>
          <w:tblCellMar>
            <w:top w:w="105" w:type="dxa"/>
            <w:left w:w="105" w:type="dxa"/>
            <w:bottom w:w="105" w:type="dxa"/>
            <w:right w:w="105" w:type="dxa"/>
          </w:tblCellMar>
        </w:tblPrEx>
        <w:trPr>
          <w:trHeight w:val="639" w:hRule="atLeast"/>
          <w:tblCellSpacing w:w="0" w:type="dxa"/>
          <w:jc w:val="center"/>
        </w:trPr>
        <w:tc>
          <w:tcPr>
            <w:tcW w:w="562" w:type="dxa"/>
            <w:vMerge w:val="continue"/>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tc>
        <w:tc>
          <w:tcPr>
            <w:tcW w:w="644" w:type="dxa"/>
            <w:vMerge w:val="continue"/>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tc>
        <w:tc>
          <w:tcPr>
            <w:tcW w:w="562" w:type="dxa"/>
            <w:vMerge w:val="continue"/>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tc>
        <w:tc>
          <w:tcPr>
            <w:tcW w:w="855" w:type="dxa"/>
            <w:vMerge w:val="restart"/>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pPr>
              <w:pStyle w:val="4"/>
              <w:widowControl/>
              <w:wordWrap w:val="0"/>
              <w:spacing w:beforeAutospacing="1"/>
              <w:rPr>
                <w:rFonts w:ascii="宋体" w:eastAsia="宋体" w:cs="宋体"/>
                <w:color w:val="000000" w:themeColor="text1"/>
                <w:szCs w:val="24"/>
              </w:rPr>
            </w:pPr>
            <w:r>
              <w:rPr>
                <w:rFonts w:hint="eastAsia" w:ascii="宋体" w:eastAsia="宋体" w:cs="宋体"/>
                <w:color w:val="000000" w:themeColor="text1"/>
                <w:szCs w:val="24"/>
              </w:rPr>
              <w:t>业务质量考评</w:t>
            </w:r>
          </w:p>
        </w:tc>
        <w:tc>
          <w:tcPr>
            <w:tcW w:w="2382" w:type="dxa"/>
            <w:vMerge w:val="restart"/>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pPr>
              <w:pStyle w:val="4"/>
              <w:widowControl/>
              <w:wordWrap w:val="0"/>
              <w:spacing w:beforeAutospacing="1"/>
              <w:rPr>
                <w:rFonts w:ascii="宋体" w:eastAsia="宋体" w:cs="宋体"/>
                <w:color w:val="000000" w:themeColor="text1"/>
                <w:szCs w:val="24"/>
              </w:rPr>
            </w:pPr>
            <w:r>
              <w:rPr>
                <w:rFonts w:hint="eastAsia" w:ascii="宋体" w:eastAsia="宋体" w:cs="宋体"/>
                <w:color w:val="000000" w:themeColor="text1"/>
                <w:szCs w:val="24"/>
              </w:rPr>
              <w:t>上年度业务质量考评得分（“双随机</w:t>
            </w:r>
            <w:r>
              <w:rPr>
                <w:rFonts w:hint="eastAsia" w:ascii="宋体" w:eastAsia="宋体" w:cs="宋体"/>
                <w:color w:val="000000" w:themeColor="text1"/>
                <w:szCs w:val="24"/>
                <w:lang w:eastAsia="zh-CN"/>
              </w:rPr>
              <w:t>、</w:t>
            </w:r>
            <w:bookmarkStart w:id="2" w:name="_GoBack"/>
            <w:bookmarkEnd w:id="2"/>
            <w:r>
              <w:rPr>
                <w:rFonts w:hint="eastAsia" w:ascii="宋体" w:eastAsia="宋体" w:cs="宋体"/>
                <w:color w:val="000000" w:themeColor="text1"/>
                <w:szCs w:val="24"/>
              </w:rPr>
              <w:t>一公开”检查专家组评定，</w:t>
            </w:r>
            <w:r>
              <w:rPr>
                <w:rFonts w:ascii="宋体" w:eastAsia="宋体" w:cs="宋体"/>
                <w:color w:val="000000" w:themeColor="text1"/>
                <w:szCs w:val="24"/>
              </w:rPr>
              <w:t>见附件</w:t>
            </w:r>
            <w:r>
              <w:rPr>
                <w:rFonts w:hint="eastAsia" w:ascii="宋体" w:eastAsia="宋体" w:cs="宋体"/>
                <w:color w:val="000000" w:themeColor="text1"/>
                <w:szCs w:val="24"/>
              </w:rPr>
              <w:t>3）（满分3分）</w:t>
            </w:r>
          </w:p>
        </w:tc>
        <w:tc>
          <w:tcPr>
            <w:tcW w:w="2643" w:type="dxa"/>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pPr>
              <w:pStyle w:val="4"/>
              <w:widowControl/>
              <w:wordWrap w:val="0"/>
              <w:spacing w:beforeAutospacing="1"/>
              <w:rPr>
                <w:rFonts w:ascii="宋体" w:eastAsia="宋体" w:cs="宋体"/>
                <w:color w:val="000000" w:themeColor="text1"/>
                <w:szCs w:val="24"/>
              </w:rPr>
            </w:pPr>
            <w:r>
              <w:rPr>
                <w:rFonts w:hint="eastAsia" w:ascii="宋体" w:eastAsia="宋体" w:cs="宋体"/>
                <w:color w:val="000000" w:themeColor="text1"/>
                <w:szCs w:val="24"/>
              </w:rPr>
              <w:t>90分以上</w:t>
            </w:r>
          </w:p>
        </w:tc>
        <w:tc>
          <w:tcPr>
            <w:tcW w:w="923" w:type="dxa"/>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pPr>
              <w:widowControl/>
              <w:jc w:val="center"/>
              <w:rPr>
                <w:rFonts w:ascii="宋体" w:eastAsia="宋体" w:cs="宋体"/>
                <w:kern w:val="0"/>
                <w:sz w:val="24"/>
                <w:szCs w:val="32"/>
              </w:rPr>
            </w:pPr>
            <w:r>
              <w:rPr>
                <w:rFonts w:hint="eastAsia" w:ascii="宋体" w:cs="宋体"/>
                <w:kern w:val="0"/>
                <w:sz w:val="24"/>
                <w:szCs w:val="32"/>
              </w:rPr>
              <w:t>3</w:t>
            </w:r>
          </w:p>
        </w:tc>
      </w:tr>
      <w:tr>
        <w:tblPrEx>
          <w:tblBorders>
            <w:top w:val="single" w:color="CCCCCC" w:sz="6" w:space="0"/>
            <w:left w:val="single" w:color="CCCCCC" w:sz="6" w:space="0"/>
            <w:bottom w:val="single" w:color="CCCCCC" w:sz="6" w:space="0"/>
            <w:right w:val="single" w:color="CCCCCC" w:sz="6" w:space="0"/>
            <w:insideH w:val="outset" w:color="auto" w:sz="6" w:space="0"/>
            <w:insideV w:val="outset" w:color="auto" w:sz="6" w:space="0"/>
          </w:tblBorders>
          <w:tblCellMar>
            <w:top w:w="105" w:type="dxa"/>
            <w:left w:w="105" w:type="dxa"/>
            <w:bottom w:w="105" w:type="dxa"/>
            <w:right w:w="105" w:type="dxa"/>
          </w:tblCellMar>
        </w:tblPrEx>
        <w:trPr>
          <w:trHeight w:val="545" w:hRule="atLeast"/>
          <w:tblCellSpacing w:w="0" w:type="dxa"/>
          <w:jc w:val="center"/>
        </w:trPr>
        <w:tc>
          <w:tcPr>
            <w:tcW w:w="562" w:type="dxa"/>
            <w:vMerge w:val="continue"/>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tc>
        <w:tc>
          <w:tcPr>
            <w:tcW w:w="644" w:type="dxa"/>
            <w:vMerge w:val="continue"/>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tc>
        <w:tc>
          <w:tcPr>
            <w:tcW w:w="562" w:type="dxa"/>
            <w:vMerge w:val="continue"/>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tc>
        <w:tc>
          <w:tcPr>
            <w:tcW w:w="855" w:type="dxa"/>
            <w:vMerge w:val="continue"/>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pPr>
              <w:pStyle w:val="4"/>
              <w:widowControl/>
              <w:wordWrap w:val="0"/>
              <w:spacing w:beforeAutospacing="1"/>
              <w:rPr>
                <w:rFonts w:ascii="宋体" w:eastAsia="宋体" w:cs="宋体"/>
                <w:color w:val="000000" w:themeColor="text1"/>
                <w:szCs w:val="24"/>
              </w:rPr>
            </w:pPr>
          </w:p>
        </w:tc>
        <w:tc>
          <w:tcPr>
            <w:tcW w:w="2382" w:type="dxa"/>
            <w:vMerge w:val="continue"/>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pPr>
              <w:pStyle w:val="4"/>
              <w:widowControl/>
              <w:wordWrap w:val="0"/>
              <w:spacing w:beforeAutospacing="1"/>
              <w:rPr>
                <w:rFonts w:ascii="宋体" w:eastAsia="宋体" w:cs="宋体"/>
                <w:color w:val="000000" w:themeColor="text1"/>
                <w:szCs w:val="24"/>
              </w:rPr>
            </w:pPr>
          </w:p>
        </w:tc>
        <w:tc>
          <w:tcPr>
            <w:tcW w:w="2643" w:type="dxa"/>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pPr>
              <w:pStyle w:val="4"/>
              <w:widowControl/>
              <w:wordWrap w:val="0"/>
              <w:spacing w:beforeAutospacing="1"/>
              <w:rPr>
                <w:rFonts w:ascii="宋体" w:eastAsia="宋体" w:cs="宋体"/>
                <w:color w:val="000000" w:themeColor="text1"/>
                <w:szCs w:val="24"/>
              </w:rPr>
            </w:pPr>
            <w:r>
              <w:rPr>
                <w:rFonts w:hint="eastAsia" w:ascii="宋体" w:eastAsia="宋体" w:cs="宋体"/>
                <w:color w:val="000000" w:themeColor="text1"/>
                <w:szCs w:val="24"/>
              </w:rPr>
              <w:t>75分(含)-90分</w:t>
            </w:r>
          </w:p>
        </w:tc>
        <w:tc>
          <w:tcPr>
            <w:tcW w:w="923" w:type="dxa"/>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pPr>
              <w:widowControl/>
              <w:jc w:val="center"/>
              <w:rPr>
                <w:rFonts w:ascii="宋体" w:eastAsia="宋体" w:cs="宋体"/>
                <w:kern w:val="0"/>
                <w:sz w:val="24"/>
                <w:szCs w:val="32"/>
              </w:rPr>
            </w:pPr>
            <w:r>
              <w:rPr>
                <w:rFonts w:hint="eastAsia" w:ascii="宋体" w:cs="宋体"/>
                <w:kern w:val="0"/>
                <w:sz w:val="24"/>
                <w:szCs w:val="32"/>
              </w:rPr>
              <w:t>2</w:t>
            </w:r>
          </w:p>
        </w:tc>
      </w:tr>
      <w:tr>
        <w:tblPrEx>
          <w:tblBorders>
            <w:top w:val="single" w:color="CCCCCC" w:sz="6" w:space="0"/>
            <w:left w:val="single" w:color="CCCCCC" w:sz="6" w:space="0"/>
            <w:bottom w:val="single" w:color="CCCCCC" w:sz="6" w:space="0"/>
            <w:right w:val="single" w:color="CCCCCC" w:sz="6" w:space="0"/>
            <w:insideH w:val="outset" w:color="auto" w:sz="6" w:space="0"/>
            <w:insideV w:val="outset" w:color="auto" w:sz="6" w:space="0"/>
          </w:tblBorders>
          <w:tblCellMar>
            <w:top w:w="105" w:type="dxa"/>
            <w:left w:w="105" w:type="dxa"/>
            <w:bottom w:w="105" w:type="dxa"/>
            <w:right w:w="105" w:type="dxa"/>
          </w:tblCellMar>
        </w:tblPrEx>
        <w:trPr>
          <w:trHeight w:val="378" w:hRule="atLeast"/>
          <w:tblCellSpacing w:w="0" w:type="dxa"/>
          <w:jc w:val="center"/>
        </w:trPr>
        <w:tc>
          <w:tcPr>
            <w:tcW w:w="562" w:type="dxa"/>
            <w:vMerge w:val="continue"/>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tc>
        <w:tc>
          <w:tcPr>
            <w:tcW w:w="644" w:type="dxa"/>
            <w:vMerge w:val="continue"/>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tc>
        <w:tc>
          <w:tcPr>
            <w:tcW w:w="562" w:type="dxa"/>
            <w:vMerge w:val="continue"/>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tc>
        <w:tc>
          <w:tcPr>
            <w:tcW w:w="855" w:type="dxa"/>
            <w:vMerge w:val="continue"/>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pPr>
              <w:pStyle w:val="4"/>
              <w:widowControl/>
              <w:wordWrap w:val="0"/>
              <w:spacing w:beforeAutospacing="1"/>
              <w:rPr>
                <w:rFonts w:ascii="宋体" w:eastAsia="宋体" w:cs="宋体"/>
                <w:color w:val="000000" w:themeColor="text1"/>
                <w:szCs w:val="24"/>
              </w:rPr>
            </w:pPr>
          </w:p>
        </w:tc>
        <w:tc>
          <w:tcPr>
            <w:tcW w:w="2382" w:type="dxa"/>
            <w:vMerge w:val="continue"/>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pPr>
              <w:pStyle w:val="4"/>
              <w:widowControl/>
              <w:wordWrap w:val="0"/>
              <w:spacing w:beforeAutospacing="1"/>
              <w:rPr>
                <w:rFonts w:ascii="宋体" w:eastAsia="宋体" w:cs="宋体"/>
                <w:color w:val="000000" w:themeColor="text1"/>
                <w:szCs w:val="24"/>
              </w:rPr>
            </w:pPr>
          </w:p>
        </w:tc>
        <w:tc>
          <w:tcPr>
            <w:tcW w:w="2643" w:type="dxa"/>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pPr>
              <w:pStyle w:val="4"/>
              <w:widowControl/>
              <w:wordWrap w:val="0"/>
              <w:spacing w:beforeAutospacing="1"/>
              <w:rPr>
                <w:rFonts w:ascii="宋体" w:eastAsia="宋体" w:cs="宋体"/>
                <w:color w:val="000000" w:themeColor="text1"/>
                <w:szCs w:val="24"/>
              </w:rPr>
            </w:pPr>
            <w:r>
              <w:rPr>
                <w:rFonts w:hint="eastAsia" w:ascii="宋体" w:eastAsia="宋体" w:cs="宋体"/>
                <w:color w:val="000000" w:themeColor="text1"/>
                <w:szCs w:val="24"/>
              </w:rPr>
              <w:t>60分(含)-75分</w:t>
            </w:r>
          </w:p>
        </w:tc>
        <w:tc>
          <w:tcPr>
            <w:tcW w:w="923" w:type="dxa"/>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pPr>
              <w:widowControl/>
              <w:jc w:val="center"/>
              <w:rPr>
                <w:rFonts w:ascii="宋体" w:eastAsia="宋体" w:cs="宋体"/>
                <w:kern w:val="0"/>
                <w:sz w:val="24"/>
                <w:szCs w:val="32"/>
              </w:rPr>
            </w:pPr>
            <w:r>
              <w:rPr>
                <w:rFonts w:hint="eastAsia" w:ascii="宋体" w:cs="宋体"/>
                <w:kern w:val="0"/>
                <w:sz w:val="24"/>
                <w:szCs w:val="32"/>
              </w:rPr>
              <w:t>1</w:t>
            </w:r>
          </w:p>
        </w:tc>
      </w:tr>
      <w:tr>
        <w:tblPrEx>
          <w:tblBorders>
            <w:top w:val="single" w:color="CCCCCC" w:sz="6" w:space="0"/>
            <w:left w:val="single" w:color="CCCCCC" w:sz="6" w:space="0"/>
            <w:bottom w:val="single" w:color="CCCCCC" w:sz="6" w:space="0"/>
            <w:right w:val="single" w:color="CCCCCC" w:sz="6" w:space="0"/>
            <w:insideH w:val="outset" w:color="auto" w:sz="6" w:space="0"/>
            <w:insideV w:val="outset" w:color="auto" w:sz="6" w:space="0"/>
          </w:tblBorders>
          <w:tblCellMar>
            <w:top w:w="105" w:type="dxa"/>
            <w:left w:w="105" w:type="dxa"/>
            <w:bottom w:w="105" w:type="dxa"/>
            <w:right w:w="105" w:type="dxa"/>
          </w:tblCellMar>
        </w:tblPrEx>
        <w:trPr>
          <w:trHeight w:val="527" w:hRule="atLeast"/>
          <w:tblCellSpacing w:w="0" w:type="dxa"/>
          <w:jc w:val="center"/>
        </w:trPr>
        <w:tc>
          <w:tcPr>
            <w:tcW w:w="562" w:type="dxa"/>
            <w:vMerge w:val="continue"/>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tc>
        <w:tc>
          <w:tcPr>
            <w:tcW w:w="644" w:type="dxa"/>
            <w:vMerge w:val="continue"/>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tc>
        <w:tc>
          <w:tcPr>
            <w:tcW w:w="562" w:type="dxa"/>
            <w:vMerge w:val="continue"/>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tc>
        <w:tc>
          <w:tcPr>
            <w:tcW w:w="855" w:type="dxa"/>
            <w:vMerge w:val="continue"/>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pPr>
              <w:pStyle w:val="4"/>
              <w:widowControl/>
              <w:wordWrap w:val="0"/>
              <w:spacing w:beforeAutospacing="1"/>
              <w:rPr>
                <w:rFonts w:ascii="宋体" w:eastAsia="宋体" w:cs="宋体"/>
                <w:color w:val="000000" w:themeColor="text1"/>
                <w:szCs w:val="24"/>
              </w:rPr>
            </w:pPr>
          </w:p>
        </w:tc>
        <w:tc>
          <w:tcPr>
            <w:tcW w:w="2382" w:type="dxa"/>
            <w:vMerge w:val="continue"/>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pPr>
              <w:pStyle w:val="4"/>
              <w:widowControl/>
              <w:wordWrap w:val="0"/>
              <w:spacing w:beforeAutospacing="1"/>
              <w:rPr>
                <w:rFonts w:ascii="宋体" w:eastAsia="宋体" w:cs="宋体"/>
                <w:color w:val="000000" w:themeColor="text1"/>
                <w:szCs w:val="24"/>
              </w:rPr>
            </w:pPr>
          </w:p>
        </w:tc>
        <w:tc>
          <w:tcPr>
            <w:tcW w:w="2643" w:type="dxa"/>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pPr>
              <w:pStyle w:val="4"/>
              <w:widowControl/>
              <w:wordWrap w:val="0"/>
              <w:spacing w:beforeAutospacing="1"/>
              <w:rPr>
                <w:rFonts w:ascii="宋体" w:eastAsia="宋体" w:cs="宋体"/>
                <w:color w:val="000000" w:themeColor="text1"/>
                <w:szCs w:val="24"/>
              </w:rPr>
            </w:pPr>
            <w:r>
              <w:rPr>
                <w:rFonts w:hint="eastAsia" w:ascii="宋体" w:eastAsia="宋体" w:cs="宋体"/>
                <w:color w:val="000000" w:themeColor="text1"/>
                <w:szCs w:val="24"/>
              </w:rPr>
              <w:t>60分以下</w:t>
            </w:r>
          </w:p>
        </w:tc>
        <w:tc>
          <w:tcPr>
            <w:tcW w:w="923" w:type="dxa"/>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pPr>
              <w:widowControl/>
              <w:jc w:val="center"/>
              <w:rPr>
                <w:rFonts w:ascii="宋体" w:eastAsia="宋体" w:cs="宋体"/>
                <w:kern w:val="0"/>
                <w:sz w:val="24"/>
                <w:szCs w:val="32"/>
              </w:rPr>
            </w:pPr>
            <w:r>
              <w:rPr>
                <w:rFonts w:hint="eastAsia" w:ascii="宋体" w:cs="宋体"/>
                <w:kern w:val="0"/>
                <w:sz w:val="24"/>
                <w:szCs w:val="32"/>
              </w:rPr>
              <w:t>0</w:t>
            </w:r>
          </w:p>
        </w:tc>
      </w:tr>
      <w:tr>
        <w:tblPrEx>
          <w:tblBorders>
            <w:top w:val="single" w:color="CCCCCC" w:sz="6" w:space="0"/>
            <w:left w:val="single" w:color="CCCCCC" w:sz="6" w:space="0"/>
            <w:bottom w:val="single" w:color="CCCCCC" w:sz="6" w:space="0"/>
            <w:right w:val="single" w:color="CCCCCC" w:sz="6" w:space="0"/>
            <w:insideH w:val="outset" w:color="auto" w:sz="6" w:space="0"/>
            <w:insideV w:val="outset" w:color="auto" w:sz="6" w:space="0"/>
          </w:tblBorders>
          <w:tblCellMar>
            <w:top w:w="105" w:type="dxa"/>
            <w:left w:w="105" w:type="dxa"/>
            <w:bottom w:w="105" w:type="dxa"/>
            <w:right w:w="105" w:type="dxa"/>
          </w:tblCellMar>
        </w:tblPrEx>
        <w:trPr>
          <w:trHeight w:val="2971" w:hRule="atLeast"/>
          <w:tblCellSpacing w:w="0" w:type="dxa"/>
          <w:jc w:val="center"/>
        </w:trPr>
        <w:tc>
          <w:tcPr>
            <w:tcW w:w="562" w:type="dxa"/>
            <w:vMerge w:val="continue"/>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tc>
        <w:tc>
          <w:tcPr>
            <w:tcW w:w="644" w:type="dxa"/>
            <w:vMerge w:val="continue"/>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tc>
        <w:tc>
          <w:tcPr>
            <w:tcW w:w="562" w:type="dxa"/>
            <w:vMerge w:val="continue"/>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tc>
        <w:tc>
          <w:tcPr>
            <w:tcW w:w="855" w:type="dxa"/>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pPr>
              <w:pStyle w:val="4"/>
              <w:widowControl/>
              <w:wordWrap w:val="0"/>
              <w:spacing w:beforeAutospacing="1"/>
              <w:rPr>
                <w:rFonts w:ascii="宋体" w:eastAsia="宋体" w:cs="宋体"/>
                <w:color w:val="000000" w:themeColor="text1"/>
                <w:szCs w:val="24"/>
              </w:rPr>
            </w:pPr>
            <w:r>
              <w:rPr>
                <w:rFonts w:hint="eastAsia" w:ascii="宋体" w:eastAsia="宋体" w:cs="宋体"/>
                <w:color w:val="000000" w:themeColor="text1"/>
                <w:szCs w:val="24"/>
              </w:rPr>
              <w:t>参加主管部门招标相关活动</w:t>
            </w:r>
          </w:p>
        </w:tc>
        <w:tc>
          <w:tcPr>
            <w:tcW w:w="2382" w:type="dxa"/>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pPr>
              <w:pStyle w:val="4"/>
              <w:widowControl/>
              <w:wordWrap w:val="0"/>
              <w:spacing w:beforeAutospacing="1"/>
              <w:rPr>
                <w:rFonts w:ascii="宋体" w:eastAsia="宋体" w:cs="宋体"/>
                <w:color w:val="000000" w:themeColor="text1"/>
                <w:szCs w:val="24"/>
              </w:rPr>
            </w:pPr>
            <w:r>
              <w:rPr>
                <w:rFonts w:hint="eastAsia" w:ascii="宋体" w:eastAsia="宋体" w:cs="宋体"/>
                <w:color w:val="000000" w:themeColor="text1"/>
                <w:szCs w:val="24"/>
              </w:rPr>
              <w:t>招标代理机构在广西建筑市场监管与诚信信息一体化平台中录入的证明文件（行业招标监管部门）（满分2分）</w:t>
            </w:r>
          </w:p>
        </w:tc>
        <w:tc>
          <w:tcPr>
            <w:tcW w:w="2643" w:type="dxa"/>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pPr>
              <w:pStyle w:val="4"/>
              <w:widowControl/>
              <w:wordWrap w:val="0"/>
              <w:spacing w:beforeAutospacing="1"/>
              <w:rPr>
                <w:rFonts w:ascii="宋体" w:eastAsia="宋体" w:cs="宋体"/>
                <w:color w:val="000000" w:themeColor="text1"/>
                <w:szCs w:val="24"/>
              </w:rPr>
            </w:pPr>
            <w:r>
              <w:rPr>
                <w:rFonts w:hint="eastAsia" w:ascii="宋体" w:eastAsia="宋体" w:cs="宋体"/>
                <w:color w:val="000000" w:themeColor="text1"/>
                <w:szCs w:val="24"/>
              </w:rPr>
              <w:t>积极参加主管部门组织的范本（规章）编写、系统调试、检查、阅卷等，加0.5分/人次</w:t>
            </w:r>
          </w:p>
        </w:tc>
        <w:tc>
          <w:tcPr>
            <w:tcW w:w="923" w:type="dxa"/>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pPr>
              <w:pStyle w:val="4"/>
              <w:widowControl/>
              <w:wordWrap w:val="0"/>
              <w:spacing w:beforeAutospacing="1" w:afterAutospacing="1"/>
              <w:jc w:val="center"/>
              <w:rPr>
                <w:rFonts w:ascii="Times New Roman" w:hAnsi="Times New Roman" w:eastAsia="微软雅黑" w:cs="Times New Roman"/>
                <w:szCs w:val="24"/>
              </w:rPr>
            </w:pPr>
            <w:r>
              <w:rPr>
                <w:rFonts w:hint="eastAsia" w:ascii="Times New Roman" w:hAnsi="Times New Roman" w:eastAsia="微软雅黑" w:cs="Times New Roman"/>
                <w:szCs w:val="24"/>
              </w:rPr>
              <w:t>0.5X</w:t>
            </w:r>
          </w:p>
        </w:tc>
      </w:tr>
      <w:tr>
        <w:tblPrEx>
          <w:tblBorders>
            <w:top w:val="single" w:color="CCCCCC" w:sz="6" w:space="0"/>
            <w:left w:val="single" w:color="CCCCCC" w:sz="6" w:space="0"/>
            <w:bottom w:val="single" w:color="CCCCCC" w:sz="6" w:space="0"/>
            <w:right w:val="single" w:color="CCCCCC" w:sz="6" w:space="0"/>
            <w:insideH w:val="outset" w:color="auto" w:sz="6" w:space="0"/>
            <w:insideV w:val="outset" w:color="auto" w:sz="6" w:space="0"/>
          </w:tblBorders>
          <w:tblCellMar>
            <w:top w:w="105" w:type="dxa"/>
            <w:left w:w="105" w:type="dxa"/>
            <w:bottom w:w="105" w:type="dxa"/>
            <w:right w:w="105" w:type="dxa"/>
          </w:tblCellMar>
        </w:tblPrEx>
        <w:trPr>
          <w:trHeight w:val="640" w:hRule="atLeast"/>
          <w:tblCellSpacing w:w="0" w:type="dxa"/>
          <w:jc w:val="center"/>
        </w:trPr>
        <w:tc>
          <w:tcPr>
            <w:tcW w:w="562" w:type="dxa"/>
            <w:vMerge w:val="continue"/>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tc>
        <w:tc>
          <w:tcPr>
            <w:tcW w:w="644" w:type="dxa"/>
            <w:vMerge w:val="continue"/>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tc>
        <w:tc>
          <w:tcPr>
            <w:tcW w:w="562" w:type="dxa"/>
            <w:vMerge w:val="continue"/>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tc>
        <w:tc>
          <w:tcPr>
            <w:tcW w:w="855" w:type="dxa"/>
            <w:vMerge w:val="restart"/>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pPr>
              <w:pStyle w:val="4"/>
              <w:widowControl/>
              <w:wordWrap w:val="0"/>
              <w:spacing w:beforeAutospacing="1"/>
              <w:rPr>
                <w:rFonts w:ascii="宋体" w:eastAsia="宋体" w:cs="宋体"/>
                <w:color w:val="000000" w:themeColor="text1"/>
                <w:szCs w:val="24"/>
              </w:rPr>
            </w:pPr>
            <w:r>
              <w:rPr>
                <w:rFonts w:hint="eastAsia" w:ascii="宋体" w:eastAsia="宋体" w:cs="宋体"/>
                <w:color w:val="000000" w:themeColor="text1"/>
                <w:szCs w:val="24"/>
              </w:rPr>
              <w:t>所有代理项目被招标单位评定为优秀的比率</w:t>
            </w:r>
          </w:p>
        </w:tc>
        <w:tc>
          <w:tcPr>
            <w:tcW w:w="2382" w:type="dxa"/>
            <w:vMerge w:val="restart"/>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pPr>
              <w:pStyle w:val="4"/>
              <w:widowControl/>
              <w:wordWrap w:val="0"/>
              <w:spacing w:beforeAutospacing="1"/>
              <w:rPr>
                <w:rFonts w:ascii="宋体" w:eastAsia="宋体" w:cs="宋体"/>
                <w:color w:val="000000" w:themeColor="text1"/>
                <w:szCs w:val="24"/>
              </w:rPr>
            </w:pPr>
            <w:r>
              <w:rPr>
                <w:rFonts w:hint="eastAsia" w:ascii="宋体" w:eastAsia="宋体" w:cs="宋体"/>
                <w:color w:val="000000" w:themeColor="text1"/>
                <w:szCs w:val="24"/>
              </w:rPr>
              <w:t>招标单位在柳州招标管理系统对招标项目“一标一评”（</w:t>
            </w:r>
            <w:r>
              <w:rPr>
                <w:rFonts w:ascii="宋体" w:eastAsia="宋体" w:cs="宋体"/>
                <w:color w:val="000000" w:themeColor="text1"/>
                <w:szCs w:val="24"/>
              </w:rPr>
              <w:t>见附件</w:t>
            </w:r>
            <w:r>
              <w:rPr>
                <w:rFonts w:hint="eastAsia" w:ascii="宋体" w:eastAsia="宋体" w:cs="宋体"/>
                <w:color w:val="000000" w:themeColor="text1"/>
                <w:szCs w:val="24"/>
              </w:rPr>
              <w:t>4）（满分5分）</w:t>
            </w:r>
          </w:p>
        </w:tc>
        <w:tc>
          <w:tcPr>
            <w:tcW w:w="2643" w:type="dxa"/>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pPr>
              <w:pStyle w:val="4"/>
              <w:widowControl/>
              <w:wordWrap w:val="0"/>
              <w:spacing w:beforeAutospacing="1"/>
              <w:rPr>
                <w:rFonts w:ascii="宋体" w:eastAsia="宋体" w:cs="宋体"/>
                <w:color w:val="000000" w:themeColor="text1"/>
                <w:szCs w:val="24"/>
              </w:rPr>
            </w:pPr>
            <w:r>
              <w:rPr>
                <w:rFonts w:hint="eastAsia" w:ascii="宋体" w:eastAsia="宋体" w:cs="宋体"/>
                <w:color w:val="000000" w:themeColor="text1"/>
                <w:szCs w:val="24"/>
              </w:rPr>
              <w:t>85%(含)-100%</w:t>
            </w:r>
          </w:p>
        </w:tc>
        <w:tc>
          <w:tcPr>
            <w:tcW w:w="923" w:type="dxa"/>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pPr>
              <w:pStyle w:val="4"/>
              <w:widowControl/>
              <w:wordWrap w:val="0"/>
              <w:spacing w:beforeAutospacing="1"/>
              <w:rPr>
                <w:rFonts w:ascii="宋体" w:eastAsia="宋体" w:cs="宋体"/>
                <w:color w:val="000000" w:themeColor="text1"/>
                <w:szCs w:val="24"/>
              </w:rPr>
            </w:pPr>
            <w:r>
              <w:rPr>
                <w:rFonts w:hint="eastAsia" w:ascii="宋体" w:eastAsia="宋体" w:cs="宋体"/>
                <w:color w:val="000000" w:themeColor="text1"/>
                <w:szCs w:val="24"/>
              </w:rPr>
              <w:t>5</w:t>
            </w:r>
          </w:p>
        </w:tc>
      </w:tr>
      <w:tr>
        <w:tblPrEx>
          <w:tblBorders>
            <w:top w:val="single" w:color="CCCCCC" w:sz="6" w:space="0"/>
            <w:left w:val="single" w:color="CCCCCC" w:sz="6" w:space="0"/>
            <w:bottom w:val="single" w:color="CCCCCC" w:sz="6" w:space="0"/>
            <w:right w:val="single" w:color="CCCCCC" w:sz="6" w:space="0"/>
            <w:insideH w:val="outset" w:color="auto" w:sz="6" w:space="0"/>
            <w:insideV w:val="outset" w:color="auto" w:sz="6" w:space="0"/>
          </w:tblBorders>
          <w:tblCellMar>
            <w:top w:w="105" w:type="dxa"/>
            <w:left w:w="105" w:type="dxa"/>
            <w:bottom w:w="105" w:type="dxa"/>
            <w:right w:w="105" w:type="dxa"/>
          </w:tblCellMar>
        </w:tblPrEx>
        <w:trPr>
          <w:trHeight w:val="640" w:hRule="atLeast"/>
          <w:tblCellSpacing w:w="0" w:type="dxa"/>
          <w:jc w:val="center"/>
        </w:trPr>
        <w:tc>
          <w:tcPr>
            <w:tcW w:w="562" w:type="dxa"/>
            <w:vMerge w:val="continue"/>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tc>
        <w:tc>
          <w:tcPr>
            <w:tcW w:w="644" w:type="dxa"/>
            <w:vMerge w:val="continue"/>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tc>
        <w:tc>
          <w:tcPr>
            <w:tcW w:w="562" w:type="dxa"/>
            <w:vMerge w:val="continue"/>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tc>
        <w:tc>
          <w:tcPr>
            <w:tcW w:w="855" w:type="dxa"/>
            <w:vMerge w:val="continue"/>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pPr>
              <w:pStyle w:val="4"/>
              <w:widowControl/>
              <w:wordWrap w:val="0"/>
              <w:spacing w:beforeAutospacing="1"/>
              <w:rPr>
                <w:rFonts w:ascii="宋体" w:eastAsia="宋体" w:cs="宋体"/>
                <w:color w:val="000000" w:themeColor="text1"/>
                <w:szCs w:val="24"/>
              </w:rPr>
            </w:pPr>
          </w:p>
        </w:tc>
        <w:tc>
          <w:tcPr>
            <w:tcW w:w="2382" w:type="dxa"/>
            <w:vMerge w:val="continue"/>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pPr>
              <w:pStyle w:val="4"/>
              <w:widowControl/>
              <w:wordWrap w:val="0"/>
              <w:spacing w:beforeAutospacing="1"/>
              <w:rPr>
                <w:rFonts w:ascii="宋体" w:eastAsia="宋体" w:cs="宋体"/>
                <w:color w:val="000000" w:themeColor="text1"/>
                <w:szCs w:val="24"/>
              </w:rPr>
            </w:pPr>
          </w:p>
        </w:tc>
        <w:tc>
          <w:tcPr>
            <w:tcW w:w="2643" w:type="dxa"/>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pPr>
              <w:pStyle w:val="4"/>
              <w:widowControl/>
              <w:wordWrap w:val="0"/>
              <w:spacing w:beforeAutospacing="1"/>
              <w:rPr>
                <w:rFonts w:ascii="宋体" w:eastAsia="宋体" w:cs="宋体"/>
                <w:color w:val="000000" w:themeColor="text1"/>
                <w:szCs w:val="24"/>
              </w:rPr>
            </w:pPr>
            <w:r>
              <w:rPr>
                <w:rFonts w:hint="eastAsia" w:ascii="宋体" w:eastAsia="宋体" w:cs="宋体"/>
                <w:color w:val="000000" w:themeColor="text1"/>
                <w:szCs w:val="24"/>
              </w:rPr>
              <w:t>75%(含)-85%</w:t>
            </w:r>
          </w:p>
        </w:tc>
        <w:tc>
          <w:tcPr>
            <w:tcW w:w="923" w:type="dxa"/>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pPr>
              <w:pStyle w:val="4"/>
              <w:widowControl/>
              <w:wordWrap w:val="0"/>
              <w:spacing w:beforeAutospacing="1"/>
              <w:rPr>
                <w:rFonts w:ascii="宋体" w:eastAsia="宋体" w:cs="宋体"/>
                <w:color w:val="000000" w:themeColor="text1"/>
                <w:szCs w:val="24"/>
              </w:rPr>
            </w:pPr>
            <w:r>
              <w:rPr>
                <w:rFonts w:hint="eastAsia" w:ascii="宋体" w:eastAsia="宋体" w:cs="宋体"/>
                <w:color w:val="000000" w:themeColor="text1"/>
                <w:szCs w:val="24"/>
              </w:rPr>
              <w:t>4</w:t>
            </w:r>
          </w:p>
        </w:tc>
      </w:tr>
      <w:tr>
        <w:tblPrEx>
          <w:tblBorders>
            <w:top w:val="single" w:color="CCCCCC" w:sz="6" w:space="0"/>
            <w:left w:val="single" w:color="CCCCCC" w:sz="6" w:space="0"/>
            <w:bottom w:val="single" w:color="CCCCCC" w:sz="6" w:space="0"/>
            <w:right w:val="single" w:color="CCCCCC" w:sz="6" w:space="0"/>
            <w:insideH w:val="outset" w:color="auto" w:sz="6" w:space="0"/>
            <w:insideV w:val="outset" w:color="auto" w:sz="6" w:space="0"/>
          </w:tblBorders>
          <w:tblCellMar>
            <w:top w:w="105" w:type="dxa"/>
            <w:left w:w="105" w:type="dxa"/>
            <w:bottom w:w="105" w:type="dxa"/>
            <w:right w:w="105" w:type="dxa"/>
          </w:tblCellMar>
        </w:tblPrEx>
        <w:trPr>
          <w:trHeight w:val="640" w:hRule="atLeast"/>
          <w:tblCellSpacing w:w="0" w:type="dxa"/>
          <w:jc w:val="center"/>
        </w:trPr>
        <w:tc>
          <w:tcPr>
            <w:tcW w:w="562" w:type="dxa"/>
            <w:vMerge w:val="continue"/>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tc>
        <w:tc>
          <w:tcPr>
            <w:tcW w:w="644" w:type="dxa"/>
            <w:vMerge w:val="continue"/>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tc>
        <w:tc>
          <w:tcPr>
            <w:tcW w:w="562" w:type="dxa"/>
            <w:vMerge w:val="continue"/>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tc>
        <w:tc>
          <w:tcPr>
            <w:tcW w:w="855" w:type="dxa"/>
            <w:vMerge w:val="continue"/>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pPr>
              <w:pStyle w:val="4"/>
              <w:widowControl/>
              <w:wordWrap w:val="0"/>
              <w:spacing w:beforeAutospacing="1"/>
              <w:rPr>
                <w:rFonts w:ascii="宋体" w:eastAsia="宋体" w:cs="宋体"/>
                <w:color w:val="000000" w:themeColor="text1"/>
                <w:szCs w:val="24"/>
              </w:rPr>
            </w:pPr>
          </w:p>
        </w:tc>
        <w:tc>
          <w:tcPr>
            <w:tcW w:w="2382" w:type="dxa"/>
            <w:vMerge w:val="continue"/>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pPr>
              <w:pStyle w:val="4"/>
              <w:widowControl/>
              <w:wordWrap w:val="0"/>
              <w:spacing w:beforeAutospacing="1"/>
              <w:rPr>
                <w:rFonts w:ascii="宋体" w:eastAsia="宋体" w:cs="宋体"/>
                <w:color w:val="000000" w:themeColor="text1"/>
                <w:szCs w:val="24"/>
              </w:rPr>
            </w:pPr>
          </w:p>
        </w:tc>
        <w:tc>
          <w:tcPr>
            <w:tcW w:w="2643" w:type="dxa"/>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pPr>
              <w:pStyle w:val="4"/>
              <w:widowControl/>
              <w:wordWrap w:val="0"/>
              <w:spacing w:beforeAutospacing="1"/>
              <w:rPr>
                <w:rFonts w:ascii="宋体" w:eastAsia="宋体" w:cs="宋体"/>
                <w:color w:val="000000" w:themeColor="text1"/>
                <w:szCs w:val="24"/>
              </w:rPr>
            </w:pPr>
            <w:r>
              <w:rPr>
                <w:rFonts w:hint="eastAsia" w:ascii="宋体" w:eastAsia="宋体" w:cs="宋体"/>
                <w:color w:val="000000" w:themeColor="text1"/>
                <w:szCs w:val="24"/>
              </w:rPr>
              <w:t>70%(含)-75%</w:t>
            </w:r>
          </w:p>
        </w:tc>
        <w:tc>
          <w:tcPr>
            <w:tcW w:w="923" w:type="dxa"/>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pPr>
              <w:pStyle w:val="4"/>
              <w:widowControl/>
              <w:wordWrap w:val="0"/>
              <w:spacing w:beforeAutospacing="1"/>
              <w:rPr>
                <w:rFonts w:ascii="宋体" w:eastAsia="宋体" w:cs="宋体"/>
                <w:color w:val="000000" w:themeColor="text1"/>
                <w:szCs w:val="24"/>
              </w:rPr>
            </w:pPr>
            <w:r>
              <w:rPr>
                <w:rFonts w:hint="eastAsia" w:ascii="宋体" w:eastAsia="宋体" w:cs="宋体"/>
                <w:color w:val="000000" w:themeColor="text1"/>
                <w:szCs w:val="24"/>
              </w:rPr>
              <w:t>3</w:t>
            </w:r>
          </w:p>
        </w:tc>
      </w:tr>
      <w:tr>
        <w:tblPrEx>
          <w:tblBorders>
            <w:top w:val="single" w:color="CCCCCC" w:sz="6" w:space="0"/>
            <w:left w:val="single" w:color="CCCCCC" w:sz="6" w:space="0"/>
            <w:bottom w:val="single" w:color="CCCCCC" w:sz="6" w:space="0"/>
            <w:right w:val="single" w:color="CCCCCC" w:sz="6" w:space="0"/>
            <w:insideH w:val="outset" w:color="auto" w:sz="6" w:space="0"/>
            <w:insideV w:val="outset" w:color="auto" w:sz="6" w:space="0"/>
          </w:tblBorders>
          <w:tblCellMar>
            <w:top w:w="105" w:type="dxa"/>
            <w:left w:w="105" w:type="dxa"/>
            <w:bottom w:w="105" w:type="dxa"/>
            <w:right w:w="105" w:type="dxa"/>
          </w:tblCellMar>
        </w:tblPrEx>
        <w:trPr>
          <w:trHeight w:val="640" w:hRule="atLeast"/>
          <w:tblCellSpacing w:w="0" w:type="dxa"/>
          <w:jc w:val="center"/>
        </w:trPr>
        <w:tc>
          <w:tcPr>
            <w:tcW w:w="562" w:type="dxa"/>
            <w:vMerge w:val="continue"/>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tc>
        <w:tc>
          <w:tcPr>
            <w:tcW w:w="644" w:type="dxa"/>
            <w:vMerge w:val="continue"/>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tc>
        <w:tc>
          <w:tcPr>
            <w:tcW w:w="562" w:type="dxa"/>
            <w:vMerge w:val="continue"/>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tc>
        <w:tc>
          <w:tcPr>
            <w:tcW w:w="855" w:type="dxa"/>
            <w:vMerge w:val="continue"/>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pPr>
              <w:pStyle w:val="4"/>
              <w:widowControl/>
              <w:wordWrap w:val="0"/>
              <w:spacing w:beforeAutospacing="1"/>
              <w:rPr>
                <w:rFonts w:ascii="宋体" w:eastAsia="宋体" w:cs="宋体"/>
                <w:color w:val="000000" w:themeColor="text1"/>
                <w:szCs w:val="24"/>
              </w:rPr>
            </w:pPr>
          </w:p>
        </w:tc>
        <w:tc>
          <w:tcPr>
            <w:tcW w:w="2382" w:type="dxa"/>
            <w:vMerge w:val="continue"/>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pPr>
              <w:pStyle w:val="4"/>
              <w:widowControl/>
              <w:wordWrap w:val="0"/>
              <w:spacing w:beforeAutospacing="1"/>
              <w:rPr>
                <w:rFonts w:ascii="宋体" w:eastAsia="宋体" w:cs="宋体"/>
                <w:color w:val="000000" w:themeColor="text1"/>
                <w:szCs w:val="24"/>
              </w:rPr>
            </w:pPr>
          </w:p>
        </w:tc>
        <w:tc>
          <w:tcPr>
            <w:tcW w:w="2643" w:type="dxa"/>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pPr>
              <w:pStyle w:val="4"/>
              <w:widowControl/>
              <w:wordWrap w:val="0"/>
              <w:spacing w:beforeAutospacing="1"/>
              <w:rPr>
                <w:rFonts w:ascii="宋体" w:eastAsia="宋体" w:cs="宋体"/>
                <w:color w:val="000000" w:themeColor="text1"/>
                <w:szCs w:val="24"/>
              </w:rPr>
            </w:pPr>
            <w:r>
              <w:rPr>
                <w:rFonts w:hint="eastAsia" w:ascii="宋体" w:eastAsia="宋体" w:cs="宋体"/>
                <w:color w:val="000000" w:themeColor="text1"/>
                <w:szCs w:val="24"/>
              </w:rPr>
              <w:t>65%(含)-70%</w:t>
            </w:r>
          </w:p>
        </w:tc>
        <w:tc>
          <w:tcPr>
            <w:tcW w:w="923" w:type="dxa"/>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pPr>
              <w:pStyle w:val="4"/>
              <w:widowControl/>
              <w:wordWrap w:val="0"/>
              <w:spacing w:beforeAutospacing="1"/>
              <w:rPr>
                <w:rFonts w:ascii="宋体" w:eastAsia="宋体" w:cs="宋体"/>
                <w:color w:val="000000" w:themeColor="text1"/>
                <w:szCs w:val="24"/>
              </w:rPr>
            </w:pPr>
            <w:r>
              <w:rPr>
                <w:rFonts w:hint="eastAsia" w:ascii="宋体" w:eastAsia="宋体" w:cs="宋体"/>
                <w:color w:val="000000" w:themeColor="text1"/>
                <w:szCs w:val="24"/>
              </w:rPr>
              <w:t>2</w:t>
            </w:r>
          </w:p>
        </w:tc>
      </w:tr>
      <w:tr>
        <w:tblPrEx>
          <w:tblBorders>
            <w:top w:val="single" w:color="CCCCCC" w:sz="6" w:space="0"/>
            <w:left w:val="single" w:color="CCCCCC" w:sz="6" w:space="0"/>
            <w:bottom w:val="single" w:color="CCCCCC" w:sz="6" w:space="0"/>
            <w:right w:val="single" w:color="CCCCCC" w:sz="6" w:space="0"/>
            <w:insideH w:val="outset" w:color="auto" w:sz="6" w:space="0"/>
            <w:insideV w:val="outset" w:color="auto" w:sz="6" w:space="0"/>
          </w:tblBorders>
          <w:tblCellMar>
            <w:top w:w="105" w:type="dxa"/>
            <w:left w:w="105" w:type="dxa"/>
            <w:bottom w:w="105" w:type="dxa"/>
            <w:right w:w="105" w:type="dxa"/>
          </w:tblCellMar>
        </w:tblPrEx>
        <w:trPr>
          <w:trHeight w:val="640" w:hRule="atLeast"/>
          <w:tblCellSpacing w:w="0" w:type="dxa"/>
          <w:jc w:val="center"/>
        </w:trPr>
        <w:tc>
          <w:tcPr>
            <w:tcW w:w="562" w:type="dxa"/>
            <w:vMerge w:val="continue"/>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tc>
        <w:tc>
          <w:tcPr>
            <w:tcW w:w="644" w:type="dxa"/>
            <w:vMerge w:val="continue"/>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tc>
        <w:tc>
          <w:tcPr>
            <w:tcW w:w="562" w:type="dxa"/>
            <w:vMerge w:val="continue"/>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tc>
        <w:tc>
          <w:tcPr>
            <w:tcW w:w="855" w:type="dxa"/>
            <w:vMerge w:val="continue"/>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pPr>
              <w:pStyle w:val="4"/>
              <w:widowControl/>
              <w:wordWrap w:val="0"/>
              <w:spacing w:beforeAutospacing="1"/>
              <w:rPr>
                <w:rFonts w:ascii="宋体" w:eastAsia="宋体" w:cs="宋体"/>
                <w:color w:val="000000" w:themeColor="text1"/>
                <w:szCs w:val="24"/>
              </w:rPr>
            </w:pPr>
          </w:p>
        </w:tc>
        <w:tc>
          <w:tcPr>
            <w:tcW w:w="2382" w:type="dxa"/>
            <w:vMerge w:val="continue"/>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pPr>
              <w:pStyle w:val="4"/>
              <w:widowControl/>
              <w:wordWrap w:val="0"/>
              <w:spacing w:beforeAutospacing="1"/>
              <w:rPr>
                <w:rFonts w:ascii="宋体" w:eastAsia="宋体" w:cs="宋体"/>
                <w:color w:val="000000" w:themeColor="text1"/>
                <w:szCs w:val="24"/>
              </w:rPr>
            </w:pPr>
          </w:p>
        </w:tc>
        <w:tc>
          <w:tcPr>
            <w:tcW w:w="2643" w:type="dxa"/>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pPr>
              <w:pStyle w:val="4"/>
              <w:widowControl/>
              <w:wordWrap w:val="0"/>
              <w:spacing w:beforeAutospacing="1"/>
              <w:rPr>
                <w:rFonts w:ascii="宋体" w:eastAsia="宋体" w:cs="宋体"/>
                <w:color w:val="000000" w:themeColor="text1"/>
                <w:szCs w:val="24"/>
              </w:rPr>
            </w:pPr>
            <w:r>
              <w:rPr>
                <w:rFonts w:hint="eastAsia" w:ascii="宋体" w:eastAsia="宋体" w:cs="宋体"/>
                <w:color w:val="000000" w:themeColor="text1"/>
                <w:szCs w:val="24"/>
              </w:rPr>
              <w:t>60%(含)-65%</w:t>
            </w:r>
          </w:p>
        </w:tc>
        <w:tc>
          <w:tcPr>
            <w:tcW w:w="923" w:type="dxa"/>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pPr>
              <w:pStyle w:val="4"/>
              <w:widowControl/>
              <w:wordWrap w:val="0"/>
              <w:spacing w:beforeAutospacing="1"/>
              <w:rPr>
                <w:rFonts w:ascii="宋体" w:eastAsia="宋体" w:cs="宋体"/>
                <w:color w:val="000000" w:themeColor="text1"/>
                <w:szCs w:val="24"/>
              </w:rPr>
            </w:pPr>
            <w:r>
              <w:rPr>
                <w:rFonts w:hint="eastAsia" w:ascii="宋体" w:eastAsia="宋体" w:cs="宋体"/>
                <w:color w:val="000000" w:themeColor="text1"/>
                <w:szCs w:val="24"/>
              </w:rPr>
              <w:t>1</w:t>
            </w:r>
          </w:p>
        </w:tc>
      </w:tr>
      <w:tr>
        <w:tblPrEx>
          <w:tblBorders>
            <w:top w:val="single" w:color="CCCCCC" w:sz="6" w:space="0"/>
            <w:left w:val="single" w:color="CCCCCC" w:sz="6" w:space="0"/>
            <w:bottom w:val="single" w:color="CCCCCC" w:sz="6" w:space="0"/>
            <w:right w:val="single" w:color="CCCCCC" w:sz="6" w:space="0"/>
            <w:insideH w:val="outset" w:color="auto" w:sz="6" w:space="0"/>
            <w:insideV w:val="outset" w:color="auto" w:sz="6" w:space="0"/>
          </w:tblBorders>
          <w:tblCellMar>
            <w:top w:w="105" w:type="dxa"/>
            <w:left w:w="105" w:type="dxa"/>
            <w:bottom w:w="105" w:type="dxa"/>
            <w:right w:w="105" w:type="dxa"/>
          </w:tblCellMar>
        </w:tblPrEx>
        <w:trPr>
          <w:trHeight w:val="640" w:hRule="atLeast"/>
          <w:tblCellSpacing w:w="0" w:type="dxa"/>
          <w:jc w:val="center"/>
        </w:trPr>
        <w:tc>
          <w:tcPr>
            <w:tcW w:w="562" w:type="dxa"/>
            <w:vMerge w:val="continue"/>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tc>
        <w:tc>
          <w:tcPr>
            <w:tcW w:w="644" w:type="dxa"/>
            <w:vMerge w:val="continue"/>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tc>
        <w:tc>
          <w:tcPr>
            <w:tcW w:w="562" w:type="dxa"/>
            <w:vMerge w:val="continue"/>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tc>
        <w:tc>
          <w:tcPr>
            <w:tcW w:w="855" w:type="dxa"/>
            <w:vMerge w:val="continue"/>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pPr>
              <w:pStyle w:val="4"/>
              <w:widowControl/>
              <w:wordWrap w:val="0"/>
              <w:spacing w:beforeAutospacing="1"/>
              <w:rPr>
                <w:rFonts w:ascii="宋体" w:eastAsia="宋体" w:cs="宋体"/>
                <w:color w:val="000000" w:themeColor="text1"/>
                <w:szCs w:val="24"/>
              </w:rPr>
            </w:pPr>
          </w:p>
        </w:tc>
        <w:tc>
          <w:tcPr>
            <w:tcW w:w="2382" w:type="dxa"/>
            <w:vMerge w:val="continue"/>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pPr>
              <w:pStyle w:val="4"/>
              <w:widowControl/>
              <w:wordWrap w:val="0"/>
              <w:spacing w:beforeAutospacing="1"/>
              <w:rPr>
                <w:rFonts w:ascii="宋体" w:eastAsia="宋体" w:cs="宋体"/>
                <w:color w:val="000000" w:themeColor="text1"/>
                <w:szCs w:val="24"/>
              </w:rPr>
            </w:pPr>
          </w:p>
        </w:tc>
        <w:tc>
          <w:tcPr>
            <w:tcW w:w="2643" w:type="dxa"/>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pPr>
              <w:pStyle w:val="4"/>
              <w:widowControl/>
              <w:wordWrap w:val="0"/>
              <w:spacing w:beforeAutospacing="1"/>
              <w:rPr>
                <w:rFonts w:ascii="宋体" w:eastAsia="宋体" w:cs="宋体"/>
                <w:color w:val="000000" w:themeColor="text1"/>
                <w:szCs w:val="24"/>
              </w:rPr>
            </w:pPr>
            <w:r>
              <w:rPr>
                <w:rFonts w:hint="eastAsia" w:ascii="宋体" w:eastAsia="宋体" w:cs="宋体"/>
                <w:color w:val="000000" w:themeColor="text1"/>
                <w:szCs w:val="24"/>
              </w:rPr>
              <w:t>60%以下</w:t>
            </w:r>
          </w:p>
        </w:tc>
        <w:tc>
          <w:tcPr>
            <w:tcW w:w="923" w:type="dxa"/>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pPr>
              <w:pStyle w:val="4"/>
              <w:widowControl/>
              <w:wordWrap w:val="0"/>
              <w:spacing w:beforeAutospacing="1"/>
              <w:rPr>
                <w:rFonts w:ascii="宋体" w:eastAsia="宋体" w:cs="宋体"/>
                <w:color w:val="000000" w:themeColor="text1"/>
                <w:szCs w:val="24"/>
              </w:rPr>
            </w:pPr>
            <w:r>
              <w:rPr>
                <w:rFonts w:hint="eastAsia" w:ascii="宋体" w:eastAsia="宋体" w:cs="宋体"/>
                <w:color w:val="000000" w:themeColor="text1"/>
                <w:szCs w:val="24"/>
              </w:rPr>
              <w:t>0</w:t>
            </w:r>
          </w:p>
        </w:tc>
      </w:tr>
      <w:tr>
        <w:tblPrEx>
          <w:tblBorders>
            <w:top w:val="single" w:color="CCCCCC" w:sz="6" w:space="0"/>
            <w:left w:val="single" w:color="CCCCCC" w:sz="6" w:space="0"/>
            <w:bottom w:val="single" w:color="CCCCCC" w:sz="6" w:space="0"/>
            <w:right w:val="single" w:color="CCCCCC" w:sz="6" w:space="0"/>
            <w:insideH w:val="outset" w:color="auto" w:sz="6" w:space="0"/>
            <w:insideV w:val="outset" w:color="auto" w:sz="6" w:space="0"/>
          </w:tblBorders>
          <w:tblCellMar>
            <w:top w:w="105" w:type="dxa"/>
            <w:left w:w="105" w:type="dxa"/>
            <w:bottom w:w="105" w:type="dxa"/>
            <w:right w:w="105" w:type="dxa"/>
          </w:tblCellMar>
        </w:tblPrEx>
        <w:trPr>
          <w:trHeight w:val="3438" w:hRule="atLeast"/>
          <w:tblCellSpacing w:w="0" w:type="dxa"/>
          <w:jc w:val="center"/>
        </w:trPr>
        <w:tc>
          <w:tcPr>
            <w:tcW w:w="562" w:type="dxa"/>
            <w:vMerge w:val="continue"/>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tc>
        <w:tc>
          <w:tcPr>
            <w:tcW w:w="644" w:type="dxa"/>
            <w:vMerge w:val="continue"/>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tc>
        <w:tc>
          <w:tcPr>
            <w:tcW w:w="562" w:type="dxa"/>
            <w:vMerge w:val="continue"/>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tc>
        <w:tc>
          <w:tcPr>
            <w:tcW w:w="855" w:type="dxa"/>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pPr>
              <w:pStyle w:val="4"/>
              <w:widowControl/>
              <w:wordWrap w:val="0"/>
              <w:spacing w:beforeAutospacing="1"/>
              <w:rPr>
                <w:rFonts w:ascii="宋体" w:eastAsia="宋体" w:cs="宋体"/>
                <w:color w:val="000000" w:themeColor="text1"/>
                <w:szCs w:val="24"/>
              </w:rPr>
            </w:pPr>
            <w:r>
              <w:rPr>
                <w:rFonts w:ascii="宋体" w:eastAsia="宋体" w:cs="宋体"/>
                <w:color w:val="000000" w:themeColor="text1"/>
                <w:szCs w:val="24"/>
              </w:rPr>
              <w:t>不良行为评价（扣分项，如有则分）</w:t>
            </w:r>
          </w:p>
        </w:tc>
        <w:tc>
          <w:tcPr>
            <w:tcW w:w="2382" w:type="dxa"/>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pPr>
              <w:pStyle w:val="4"/>
              <w:widowControl/>
              <w:wordWrap w:val="0"/>
              <w:spacing w:beforeAutospacing="1"/>
              <w:rPr>
                <w:rFonts w:ascii="宋体" w:eastAsia="宋体" w:cs="宋体"/>
                <w:color w:val="000000" w:themeColor="text1"/>
                <w:szCs w:val="24"/>
              </w:rPr>
            </w:pPr>
            <w:r>
              <w:rPr>
                <w:rFonts w:ascii="宋体" w:eastAsia="宋体" w:cs="宋体"/>
                <w:color w:val="000000" w:themeColor="text1"/>
                <w:szCs w:val="24"/>
              </w:rPr>
              <w:t>各级住房城乡建设主管部门</w:t>
            </w:r>
            <w:r>
              <w:rPr>
                <w:rFonts w:hint="eastAsia" w:ascii="宋体" w:eastAsia="宋体" w:cs="宋体"/>
                <w:color w:val="000000" w:themeColor="text1"/>
                <w:szCs w:val="24"/>
              </w:rPr>
              <w:t>（招标行业监管部门）、</w:t>
            </w:r>
            <w:r>
              <w:rPr>
                <w:rFonts w:ascii="宋体" w:eastAsia="宋体" w:cs="宋体"/>
                <w:color w:val="000000" w:themeColor="text1"/>
                <w:szCs w:val="24"/>
              </w:rPr>
              <w:t>公共资源交易</w:t>
            </w:r>
            <w:r>
              <w:rPr>
                <w:rFonts w:hint="eastAsia" w:ascii="宋体" w:eastAsia="宋体" w:cs="宋体"/>
                <w:color w:val="000000" w:themeColor="text1"/>
                <w:szCs w:val="24"/>
              </w:rPr>
              <w:t>中心或招标单位</w:t>
            </w:r>
            <w:r>
              <w:rPr>
                <w:rFonts w:ascii="宋体" w:eastAsia="宋体" w:cs="宋体"/>
                <w:color w:val="000000" w:themeColor="text1"/>
                <w:szCs w:val="24"/>
              </w:rPr>
              <w:t>评价</w:t>
            </w:r>
          </w:p>
        </w:tc>
        <w:tc>
          <w:tcPr>
            <w:tcW w:w="2643" w:type="dxa"/>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pPr>
              <w:pStyle w:val="4"/>
              <w:widowControl/>
              <w:wordWrap w:val="0"/>
              <w:spacing w:beforeAutospacing="1"/>
              <w:rPr>
                <w:rFonts w:ascii="宋体" w:eastAsia="宋体" w:cs="宋体"/>
                <w:color w:val="000000" w:themeColor="text1"/>
                <w:szCs w:val="24"/>
              </w:rPr>
            </w:pPr>
            <w:r>
              <w:rPr>
                <w:rFonts w:ascii="宋体" w:eastAsia="宋体" w:cs="宋体"/>
                <w:color w:val="000000" w:themeColor="text1"/>
                <w:szCs w:val="24"/>
              </w:rPr>
              <w:t>企业在承接房屋建筑和市政基础设施工程项目招标代理业务过程中，受到各级住房城乡建设主管部门</w:t>
            </w:r>
            <w:r>
              <w:rPr>
                <w:rFonts w:hint="eastAsia" w:ascii="宋体" w:eastAsia="宋体" w:cs="宋体"/>
                <w:color w:val="000000" w:themeColor="text1"/>
                <w:szCs w:val="24"/>
              </w:rPr>
              <w:t>（招标行业监管部门）、</w:t>
            </w:r>
            <w:r>
              <w:rPr>
                <w:rFonts w:ascii="宋体" w:eastAsia="宋体" w:cs="宋体"/>
                <w:color w:val="000000" w:themeColor="text1"/>
                <w:szCs w:val="24"/>
              </w:rPr>
              <w:t>公共资源交易</w:t>
            </w:r>
            <w:r>
              <w:rPr>
                <w:rFonts w:hint="eastAsia" w:ascii="宋体" w:eastAsia="宋体" w:cs="宋体"/>
                <w:color w:val="000000" w:themeColor="text1"/>
                <w:szCs w:val="24"/>
              </w:rPr>
              <w:t>中心或招标单位</w:t>
            </w:r>
            <w:r>
              <w:rPr>
                <w:rFonts w:ascii="宋体" w:eastAsia="宋体" w:cs="宋体"/>
                <w:color w:val="000000" w:themeColor="text1"/>
                <w:szCs w:val="24"/>
              </w:rPr>
              <w:t>不良行为评价</w:t>
            </w:r>
          </w:p>
        </w:tc>
        <w:tc>
          <w:tcPr>
            <w:tcW w:w="923" w:type="dxa"/>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pPr>
              <w:pStyle w:val="4"/>
              <w:widowControl/>
              <w:wordWrap w:val="0"/>
              <w:spacing w:beforeAutospacing="1"/>
              <w:rPr>
                <w:rFonts w:ascii="宋体" w:eastAsia="宋体" w:cs="宋体"/>
                <w:color w:val="000000" w:themeColor="text1"/>
                <w:szCs w:val="24"/>
              </w:rPr>
            </w:pPr>
            <w:r>
              <w:rPr>
                <w:rFonts w:ascii="宋体" w:eastAsia="宋体" w:cs="宋体"/>
                <w:color w:val="000000" w:themeColor="text1"/>
                <w:szCs w:val="24"/>
              </w:rPr>
              <w:t>不良行为扣分标准详见附件2</w:t>
            </w:r>
          </w:p>
        </w:tc>
      </w:tr>
    </w:tbl>
    <w:p>
      <w:pPr>
        <w:jc w:val="left"/>
        <w:rPr>
          <w:rFonts w:ascii="Times New Roman" w:hAnsi="Times New Roman" w:eastAsia="黑体" w:cs="Times New Roman"/>
          <w:sz w:val="32"/>
          <w:szCs w:val="32"/>
        </w:rPr>
      </w:pPr>
    </w:p>
    <w:p>
      <w:pPr>
        <w:jc w:val="left"/>
        <w:rPr>
          <w:rFonts w:ascii="Times New Roman" w:hAnsi="Times New Roman" w:eastAsia="黑体" w:cs="Times New Roman"/>
          <w:sz w:val="32"/>
          <w:szCs w:val="32"/>
        </w:rPr>
      </w:pPr>
      <w:r>
        <w:rPr>
          <w:rFonts w:hint="eastAsia" w:ascii="Times New Roman" w:hAnsi="Times New Roman" w:eastAsia="黑体" w:cs="Times New Roman"/>
          <w:sz w:val="32"/>
          <w:szCs w:val="32"/>
        </w:rPr>
        <w:t>附件2</w:t>
      </w:r>
    </w:p>
    <w:p>
      <w:pPr>
        <w:jc w:val="center"/>
        <w:rPr>
          <w:rFonts w:ascii="黑体" w:eastAsia="黑体"/>
          <w:color w:val="000000"/>
          <w:sz w:val="32"/>
          <w:szCs w:val="32"/>
        </w:rPr>
      </w:pPr>
      <w:r>
        <w:rPr>
          <w:rFonts w:hint="eastAsia" w:ascii="黑体" w:eastAsia="黑体"/>
          <w:color w:val="000000"/>
          <w:sz w:val="32"/>
          <w:szCs w:val="32"/>
        </w:rPr>
        <w:t>柳州市</w:t>
      </w:r>
      <w:r>
        <w:rPr>
          <w:rFonts w:ascii="黑体" w:eastAsia="黑体"/>
          <w:color w:val="000000"/>
          <w:sz w:val="32"/>
          <w:szCs w:val="32"/>
        </w:rPr>
        <w:t>招标代理机构不良行为扣分表</w:t>
      </w:r>
    </w:p>
    <w:tbl>
      <w:tblPr>
        <w:tblStyle w:val="5"/>
        <w:tblW w:w="8628" w:type="dxa"/>
        <w:jc w:val="center"/>
        <w:tblCellSpacing w:w="0" w:type="dxa"/>
        <w:tblBorders>
          <w:top w:val="single" w:color="CCCCCC" w:sz="6" w:space="0"/>
          <w:left w:val="single" w:color="CCCCCC" w:sz="6" w:space="0"/>
          <w:bottom w:val="single" w:color="CCCCCC" w:sz="6" w:space="0"/>
          <w:right w:val="single" w:color="CCCCCC" w:sz="6" w:space="0"/>
          <w:insideH w:val="outset" w:color="auto" w:sz="6" w:space="0"/>
          <w:insideV w:val="outset" w:color="auto" w:sz="6" w:space="0"/>
        </w:tblBorders>
        <w:tblLayout w:type="fixed"/>
        <w:tblCellMar>
          <w:top w:w="105" w:type="dxa"/>
          <w:left w:w="105" w:type="dxa"/>
          <w:bottom w:w="105" w:type="dxa"/>
          <w:right w:w="105" w:type="dxa"/>
        </w:tblCellMar>
      </w:tblPr>
      <w:tblGrid>
        <w:gridCol w:w="1076"/>
        <w:gridCol w:w="5711"/>
        <w:gridCol w:w="1020"/>
        <w:gridCol w:w="821"/>
      </w:tblGrid>
      <w:tr>
        <w:tblPrEx>
          <w:tblBorders>
            <w:top w:val="single" w:color="CCCCCC" w:sz="6" w:space="0"/>
            <w:left w:val="single" w:color="CCCCCC" w:sz="6" w:space="0"/>
            <w:bottom w:val="single" w:color="CCCCCC" w:sz="6" w:space="0"/>
            <w:right w:val="single" w:color="CCCCCC" w:sz="6" w:space="0"/>
            <w:insideH w:val="outset" w:color="auto" w:sz="6" w:space="0"/>
            <w:insideV w:val="outset" w:color="auto" w:sz="6" w:space="0"/>
          </w:tblBorders>
          <w:tblCellMar>
            <w:top w:w="105" w:type="dxa"/>
            <w:left w:w="105" w:type="dxa"/>
            <w:bottom w:w="105" w:type="dxa"/>
            <w:right w:w="105" w:type="dxa"/>
          </w:tblCellMar>
        </w:tblPrEx>
        <w:trPr>
          <w:trHeight w:val="881" w:hRule="atLeast"/>
          <w:tblHeader/>
          <w:tblCellSpacing w:w="0" w:type="dxa"/>
          <w:jc w:val="center"/>
        </w:trPr>
        <w:tc>
          <w:tcPr>
            <w:tcW w:w="1076" w:type="dxa"/>
            <w:tcBorders>
              <w:top w:val="single" w:color="auto" w:sz="4" w:space="0"/>
              <w:left w:val="single" w:color="CCCCCC" w:sz="6" w:space="0"/>
              <w:bottom w:val="single" w:color="auto" w:sz="4" w:space="0"/>
              <w:right w:val="single" w:color="auto" w:sz="4" w:space="0"/>
            </w:tcBorders>
            <w:tcMar>
              <w:top w:w="75" w:type="dxa"/>
              <w:left w:w="120" w:type="dxa"/>
              <w:bottom w:w="75" w:type="dxa"/>
              <w:right w:w="120" w:type="dxa"/>
            </w:tcMar>
            <w:vAlign w:val="center"/>
          </w:tcPr>
          <w:p>
            <w:pPr>
              <w:pStyle w:val="4"/>
              <w:widowControl/>
              <w:wordWrap w:val="0"/>
              <w:spacing w:beforeAutospacing="1" w:line="320" w:lineRule="exact"/>
              <w:jc w:val="center"/>
              <w:rPr>
                <w:rFonts w:ascii="cursive" w:hAnsi="cursive" w:eastAsia="cursive" w:cs="cursive"/>
                <w:b/>
                <w:bCs/>
                <w:szCs w:val="24"/>
              </w:rPr>
            </w:pPr>
            <w:r>
              <w:rPr>
                <w:rFonts w:ascii="cursive" w:hAnsi="cursive" w:eastAsia="cursive" w:cs="cursive"/>
                <w:b/>
                <w:bCs/>
                <w:szCs w:val="24"/>
              </w:rPr>
              <w:t>不良行为性质</w:t>
            </w:r>
          </w:p>
        </w:tc>
        <w:tc>
          <w:tcPr>
            <w:tcW w:w="5711" w:type="dxa"/>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pPr>
              <w:pStyle w:val="4"/>
              <w:widowControl/>
              <w:wordWrap w:val="0"/>
              <w:spacing w:beforeAutospacing="1" w:line="320" w:lineRule="exact"/>
              <w:jc w:val="center"/>
              <w:rPr>
                <w:rFonts w:ascii="cursive" w:hAnsi="cursive" w:eastAsia="cursive" w:cs="cursive"/>
                <w:b/>
                <w:bCs/>
                <w:szCs w:val="24"/>
              </w:rPr>
            </w:pPr>
            <w:r>
              <w:rPr>
                <w:rFonts w:ascii="cursive" w:hAnsi="cursive" w:eastAsia="cursive" w:cs="cursive"/>
                <w:b/>
                <w:bCs/>
                <w:szCs w:val="24"/>
              </w:rPr>
              <w:t>不良行为表现</w:t>
            </w:r>
          </w:p>
        </w:tc>
        <w:tc>
          <w:tcPr>
            <w:tcW w:w="1020" w:type="dxa"/>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pPr>
              <w:pStyle w:val="4"/>
              <w:widowControl/>
              <w:wordWrap w:val="0"/>
              <w:spacing w:beforeAutospacing="1" w:line="320" w:lineRule="exact"/>
              <w:jc w:val="center"/>
              <w:rPr>
                <w:rFonts w:ascii="cursive" w:hAnsi="cursive" w:eastAsia="cursive" w:cs="cursive"/>
                <w:b/>
                <w:bCs/>
                <w:szCs w:val="24"/>
              </w:rPr>
            </w:pPr>
            <w:r>
              <w:rPr>
                <w:rFonts w:ascii="cursive" w:hAnsi="cursive" w:eastAsia="cursive" w:cs="cursive"/>
                <w:b/>
                <w:bCs/>
                <w:szCs w:val="24"/>
              </w:rPr>
              <w:t>不良行为录入部门</w:t>
            </w:r>
          </w:p>
        </w:tc>
        <w:tc>
          <w:tcPr>
            <w:tcW w:w="821" w:type="dxa"/>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pPr>
              <w:pStyle w:val="4"/>
              <w:widowControl/>
              <w:wordWrap w:val="0"/>
              <w:spacing w:beforeAutospacing="1" w:line="320" w:lineRule="exact"/>
              <w:jc w:val="center"/>
              <w:rPr>
                <w:b/>
                <w:bCs/>
                <w:szCs w:val="24"/>
              </w:rPr>
            </w:pPr>
            <w:r>
              <w:rPr>
                <w:rFonts w:ascii="cursive" w:hAnsi="cursive" w:eastAsia="cursive" w:cs="cursive"/>
                <w:b/>
                <w:bCs/>
                <w:szCs w:val="24"/>
              </w:rPr>
              <w:t>扣分处理标准</w:t>
            </w:r>
          </w:p>
        </w:tc>
      </w:tr>
      <w:tr>
        <w:tblPrEx>
          <w:tblBorders>
            <w:top w:val="single" w:color="CCCCCC" w:sz="6" w:space="0"/>
            <w:left w:val="single" w:color="CCCCCC" w:sz="6" w:space="0"/>
            <w:bottom w:val="single" w:color="CCCCCC" w:sz="6" w:space="0"/>
            <w:right w:val="single" w:color="CCCCCC" w:sz="6" w:space="0"/>
            <w:insideH w:val="outset" w:color="auto" w:sz="6" w:space="0"/>
            <w:insideV w:val="outset" w:color="auto" w:sz="6" w:space="0"/>
          </w:tblBorders>
          <w:tblCellMar>
            <w:top w:w="105" w:type="dxa"/>
            <w:left w:w="105" w:type="dxa"/>
            <w:bottom w:w="105" w:type="dxa"/>
            <w:right w:w="105" w:type="dxa"/>
          </w:tblCellMar>
        </w:tblPrEx>
        <w:trPr>
          <w:trHeight w:val="887" w:hRule="atLeast"/>
          <w:tblCellSpacing w:w="0" w:type="dxa"/>
          <w:jc w:val="center"/>
        </w:trPr>
        <w:tc>
          <w:tcPr>
            <w:tcW w:w="1076" w:type="dxa"/>
            <w:vMerge w:val="restart"/>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pPr>
              <w:pStyle w:val="4"/>
              <w:widowControl/>
              <w:wordWrap w:val="0"/>
              <w:spacing w:beforeAutospacing="1" w:afterAutospacing="1"/>
              <w:jc w:val="center"/>
              <w:rPr>
                <w:szCs w:val="24"/>
              </w:rPr>
            </w:pPr>
            <w:r>
              <w:rPr>
                <w:rFonts w:ascii="cursive" w:hAnsi="cursive" w:eastAsia="cursive" w:cs="cursive"/>
                <w:b/>
                <w:bCs/>
                <w:szCs w:val="24"/>
              </w:rPr>
              <w:t>（一）严重违反招标投标法律法规行为</w:t>
            </w:r>
          </w:p>
        </w:tc>
        <w:tc>
          <w:tcPr>
            <w:tcW w:w="5711" w:type="dxa"/>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pPr>
              <w:pStyle w:val="4"/>
              <w:widowControl/>
              <w:wordWrap w:val="0"/>
              <w:spacing w:beforeAutospacing="1"/>
              <w:rPr>
                <w:rFonts w:ascii="宋体" w:eastAsia="宋体" w:cs="宋体"/>
                <w:color w:val="000000" w:themeColor="text1"/>
                <w:szCs w:val="24"/>
              </w:rPr>
            </w:pPr>
            <w:r>
              <w:rPr>
                <w:rFonts w:ascii="宋体" w:eastAsia="宋体" w:cs="宋体"/>
                <w:color w:val="000000" w:themeColor="text1"/>
                <w:szCs w:val="24"/>
              </w:rPr>
              <w:t>1.违反法律、法规或招标文件规定，在投标截止时间后允许投标人撤换或修改投标文件的。</w:t>
            </w:r>
          </w:p>
        </w:tc>
        <w:tc>
          <w:tcPr>
            <w:tcW w:w="1020" w:type="dxa"/>
            <w:vMerge w:val="restart"/>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pPr>
              <w:pStyle w:val="4"/>
              <w:widowControl/>
              <w:wordWrap w:val="0"/>
              <w:spacing w:beforeAutospacing="1"/>
              <w:rPr>
                <w:rFonts w:ascii="宋体" w:eastAsia="宋体" w:cs="宋体"/>
                <w:color w:val="000000" w:themeColor="text1"/>
                <w:szCs w:val="24"/>
              </w:rPr>
            </w:pPr>
            <w:r>
              <w:rPr>
                <w:rFonts w:hint="eastAsia" w:ascii="宋体" w:eastAsia="宋体" w:cs="宋体"/>
                <w:color w:val="000000" w:themeColor="text1"/>
                <w:szCs w:val="24"/>
              </w:rPr>
              <w:t>各级住房城乡建设主管部门或行业监管部门</w:t>
            </w:r>
          </w:p>
        </w:tc>
        <w:tc>
          <w:tcPr>
            <w:tcW w:w="821" w:type="dxa"/>
            <w:vMerge w:val="restart"/>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pPr>
              <w:pStyle w:val="4"/>
              <w:widowControl/>
              <w:wordWrap w:val="0"/>
              <w:spacing w:beforeAutospacing="1"/>
              <w:rPr>
                <w:rFonts w:ascii="宋体" w:eastAsia="宋体" w:cs="宋体"/>
                <w:color w:val="000000" w:themeColor="text1"/>
                <w:szCs w:val="24"/>
              </w:rPr>
            </w:pPr>
            <w:r>
              <w:rPr>
                <w:rFonts w:hint="eastAsia" w:ascii="宋体" w:eastAsia="宋体" w:cs="宋体"/>
                <w:color w:val="000000" w:themeColor="text1"/>
                <w:szCs w:val="24"/>
              </w:rPr>
              <w:t>每发生1次扣30分</w:t>
            </w:r>
          </w:p>
        </w:tc>
      </w:tr>
      <w:tr>
        <w:tblPrEx>
          <w:tblBorders>
            <w:top w:val="single" w:color="CCCCCC" w:sz="6" w:space="0"/>
            <w:left w:val="single" w:color="CCCCCC" w:sz="6" w:space="0"/>
            <w:bottom w:val="single" w:color="CCCCCC" w:sz="6" w:space="0"/>
            <w:right w:val="single" w:color="CCCCCC" w:sz="6" w:space="0"/>
            <w:insideH w:val="outset" w:color="auto" w:sz="6" w:space="0"/>
            <w:insideV w:val="outset" w:color="auto" w:sz="6" w:space="0"/>
          </w:tblBorders>
          <w:tblCellMar>
            <w:top w:w="105" w:type="dxa"/>
            <w:left w:w="105" w:type="dxa"/>
            <w:bottom w:w="105" w:type="dxa"/>
            <w:right w:w="105" w:type="dxa"/>
          </w:tblCellMar>
        </w:tblPrEx>
        <w:trPr>
          <w:trHeight w:val="597" w:hRule="atLeast"/>
          <w:tblCellSpacing w:w="0" w:type="dxa"/>
          <w:jc w:val="center"/>
        </w:trPr>
        <w:tc>
          <w:tcPr>
            <w:tcW w:w="1076" w:type="dxa"/>
            <w:vMerge w:val="continue"/>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tc>
        <w:tc>
          <w:tcPr>
            <w:tcW w:w="5711" w:type="dxa"/>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pPr>
              <w:pStyle w:val="4"/>
              <w:widowControl/>
              <w:wordWrap w:val="0"/>
              <w:spacing w:beforeAutospacing="1"/>
              <w:rPr>
                <w:rFonts w:ascii="宋体" w:eastAsia="宋体" w:cs="宋体"/>
                <w:color w:val="000000" w:themeColor="text1"/>
                <w:szCs w:val="24"/>
              </w:rPr>
            </w:pPr>
            <w:r>
              <w:rPr>
                <w:rFonts w:ascii="宋体" w:eastAsia="宋体" w:cs="宋体"/>
                <w:color w:val="000000" w:themeColor="text1"/>
                <w:szCs w:val="24"/>
              </w:rPr>
              <w:t>2．没有依照项目审批部门明确的招标方式进行招标。</w:t>
            </w:r>
          </w:p>
        </w:tc>
        <w:tc>
          <w:tcPr>
            <w:tcW w:w="1020" w:type="dxa"/>
            <w:vMerge w:val="continue"/>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pPr>
              <w:pStyle w:val="4"/>
              <w:widowControl/>
              <w:wordWrap w:val="0"/>
              <w:spacing w:beforeAutospacing="1"/>
              <w:rPr>
                <w:rFonts w:ascii="宋体" w:eastAsia="宋体" w:cs="宋体"/>
                <w:color w:val="000000" w:themeColor="text1"/>
                <w:szCs w:val="24"/>
              </w:rPr>
            </w:pPr>
          </w:p>
        </w:tc>
        <w:tc>
          <w:tcPr>
            <w:tcW w:w="821" w:type="dxa"/>
            <w:vMerge w:val="continue"/>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pPr>
              <w:pStyle w:val="4"/>
              <w:widowControl/>
              <w:wordWrap w:val="0"/>
              <w:spacing w:beforeAutospacing="1"/>
              <w:rPr>
                <w:rFonts w:ascii="宋体" w:eastAsia="宋体" w:cs="宋体"/>
                <w:color w:val="000000" w:themeColor="text1"/>
                <w:szCs w:val="24"/>
              </w:rPr>
            </w:pPr>
          </w:p>
        </w:tc>
      </w:tr>
      <w:tr>
        <w:tblPrEx>
          <w:tblBorders>
            <w:top w:val="single" w:color="CCCCCC" w:sz="6" w:space="0"/>
            <w:left w:val="single" w:color="CCCCCC" w:sz="6" w:space="0"/>
            <w:bottom w:val="single" w:color="CCCCCC" w:sz="6" w:space="0"/>
            <w:right w:val="single" w:color="CCCCCC" w:sz="6" w:space="0"/>
            <w:insideH w:val="outset" w:color="auto" w:sz="6" w:space="0"/>
            <w:insideV w:val="outset" w:color="auto" w:sz="6" w:space="0"/>
          </w:tblBorders>
          <w:tblCellMar>
            <w:top w:w="105" w:type="dxa"/>
            <w:left w:w="105" w:type="dxa"/>
            <w:bottom w:w="105" w:type="dxa"/>
            <w:right w:w="105" w:type="dxa"/>
          </w:tblCellMar>
        </w:tblPrEx>
        <w:trPr>
          <w:tblCellSpacing w:w="0" w:type="dxa"/>
          <w:jc w:val="center"/>
        </w:trPr>
        <w:tc>
          <w:tcPr>
            <w:tcW w:w="1076" w:type="dxa"/>
            <w:vMerge w:val="continue"/>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tc>
        <w:tc>
          <w:tcPr>
            <w:tcW w:w="5711" w:type="dxa"/>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pPr>
              <w:pStyle w:val="4"/>
              <w:widowControl/>
              <w:wordWrap w:val="0"/>
              <w:spacing w:beforeAutospacing="1"/>
              <w:rPr>
                <w:rFonts w:ascii="宋体" w:eastAsia="宋体" w:cs="宋体"/>
                <w:color w:val="000000" w:themeColor="text1"/>
                <w:szCs w:val="24"/>
              </w:rPr>
            </w:pPr>
            <w:r>
              <w:rPr>
                <w:rFonts w:ascii="宋体" w:eastAsia="宋体" w:cs="宋体"/>
                <w:color w:val="000000" w:themeColor="text1"/>
                <w:szCs w:val="24"/>
              </w:rPr>
              <w:t>3．违反法律、法规或招标文件规定，逾期接收投标文件。</w:t>
            </w:r>
          </w:p>
        </w:tc>
        <w:tc>
          <w:tcPr>
            <w:tcW w:w="1020" w:type="dxa"/>
            <w:vMerge w:val="continue"/>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pPr>
              <w:pStyle w:val="4"/>
              <w:widowControl/>
              <w:wordWrap w:val="0"/>
              <w:spacing w:beforeAutospacing="1"/>
              <w:rPr>
                <w:rFonts w:ascii="宋体" w:eastAsia="宋体" w:cs="宋体"/>
                <w:color w:val="000000" w:themeColor="text1"/>
                <w:szCs w:val="24"/>
              </w:rPr>
            </w:pPr>
          </w:p>
        </w:tc>
        <w:tc>
          <w:tcPr>
            <w:tcW w:w="821" w:type="dxa"/>
            <w:vMerge w:val="continue"/>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pPr>
              <w:pStyle w:val="4"/>
              <w:widowControl/>
              <w:wordWrap w:val="0"/>
              <w:spacing w:beforeAutospacing="1"/>
              <w:rPr>
                <w:rFonts w:ascii="宋体" w:eastAsia="宋体" w:cs="宋体"/>
                <w:color w:val="000000" w:themeColor="text1"/>
                <w:szCs w:val="24"/>
              </w:rPr>
            </w:pPr>
          </w:p>
        </w:tc>
      </w:tr>
      <w:tr>
        <w:tblPrEx>
          <w:tblBorders>
            <w:top w:val="single" w:color="CCCCCC" w:sz="6" w:space="0"/>
            <w:left w:val="single" w:color="CCCCCC" w:sz="6" w:space="0"/>
            <w:bottom w:val="single" w:color="CCCCCC" w:sz="6" w:space="0"/>
            <w:right w:val="single" w:color="CCCCCC" w:sz="6" w:space="0"/>
            <w:insideH w:val="outset" w:color="auto" w:sz="6" w:space="0"/>
            <w:insideV w:val="outset" w:color="auto" w:sz="6" w:space="0"/>
          </w:tblBorders>
          <w:tblCellMar>
            <w:top w:w="105" w:type="dxa"/>
            <w:left w:w="105" w:type="dxa"/>
            <w:bottom w:w="105" w:type="dxa"/>
            <w:right w:w="105" w:type="dxa"/>
          </w:tblCellMar>
        </w:tblPrEx>
        <w:trPr>
          <w:tblCellSpacing w:w="0" w:type="dxa"/>
          <w:jc w:val="center"/>
        </w:trPr>
        <w:tc>
          <w:tcPr>
            <w:tcW w:w="1076" w:type="dxa"/>
            <w:vMerge w:val="continue"/>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tc>
        <w:tc>
          <w:tcPr>
            <w:tcW w:w="5711" w:type="dxa"/>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pPr>
              <w:pStyle w:val="4"/>
              <w:widowControl/>
              <w:wordWrap w:val="0"/>
              <w:spacing w:beforeAutospacing="1"/>
              <w:rPr>
                <w:rFonts w:ascii="宋体" w:eastAsia="宋体" w:cs="宋体"/>
                <w:color w:val="000000" w:themeColor="text1"/>
                <w:szCs w:val="24"/>
              </w:rPr>
            </w:pPr>
            <w:r>
              <w:rPr>
                <w:rFonts w:ascii="宋体" w:eastAsia="宋体" w:cs="宋体"/>
                <w:color w:val="000000" w:themeColor="text1"/>
                <w:szCs w:val="24"/>
              </w:rPr>
              <w:t>4.在同一房屋建筑和市政基础设施工程招标投标活动中，既为招标人提供招标代理服务又为参加该项目投标人提供投标咨询。</w:t>
            </w:r>
          </w:p>
        </w:tc>
        <w:tc>
          <w:tcPr>
            <w:tcW w:w="1020" w:type="dxa"/>
            <w:vMerge w:val="continue"/>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pPr>
              <w:pStyle w:val="4"/>
              <w:widowControl/>
              <w:wordWrap w:val="0"/>
              <w:spacing w:beforeAutospacing="1"/>
              <w:rPr>
                <w:rFonts w:ascii="宋体" w:eastAsia="宋体" w:cs="宋体"/>
                <w:color w:val="000000" w:themeColor="text1"/>
                <w:szCs w:val="24"/>
              </w:rPr>
            </w:pPr>
          </w:p>
        </w:tc>
        <w:tc>
          <w:tcPr>
            <w:tcW w:w="821" w:type="dxa"/>
            <w:vMerge w:val="continue"/>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pPr>
              <w:pStyle w:val="4"/>
              <w:widowControl/>
              <w:wordWrap w:val="0"/>
              <w:spacing w:beforeAutospacing="1"/>
              <w:rPr>
                <w:rFonts w:ascii="宋体" w:eastAsia="宋体" w:cs="宋体"/>
                <w:color w:val="000000" w:themeColor="text1"/>
                <w:szCs w:val="24"/>
              </w:rPr>
            </w:pPr>
          </w:p>
        </w:tc>
      </w:tr>
      <w:tr>
        <w:tblPrEx>
          <w:tblBorders>
            <w:top w:val="single" w:color="CCCCCC" w:sz="6" w:space="0"/>
            <w:left w:val="single" w:color="CCCCCC" w:sz="6" w:space="0"/>
            <w:bottom w:val="single" w:color="CCCCCC" w:sz="6" w:space="0"/>
            <w:right w:val="single" w:color="CCCCCC" w:sz="6" w:space="0"/>
            <w:insideH w:val="outset" w:color="auto" w:sz="6" w:space="0"/>
            <w:insideV w:val="outset" w:color="auto" w:sz="6" w:space="0"/>
          </w:tblBorders>
          <w:tblCellMar>
            <w:top w:w="105" w:type="dxa"/>
            <w:left w:w="105" w:type="dxa"/>
            <w:bottom w:w="105" w:type="dxa"/>
            <w:right w:w="105" w:type="dxa"/>
          </w:tblCellMar>
        </w:tblPrEx>
        <w:trPr>
          <w:tblCellSpacing w:w="0" w:type="dxa"/>
          <w:jc w:val="center"/>
        </w:trPr>
        <w:tc>
          <w:tcPr>
            <w:tcW w:w="1076" w:type="dxa"/>
            <w:vMerge w:val="continue"/>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tc>
        <w:tc>
          <w:tcPr>
            <w:tcW w:w="5711" w:type="dxa"/>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pPr>
              <w:pStyle w:val="4"/>
              <w:widowControl/>
              <w:wordWrap w:val="0"/>
              <w:spacing w:beforeAutospacing="1"/>
              <w:rPr>
                <w:rFonts w:ascii="宋体" w:eastAsia="宋体" w:cs="宋体"/>
                <w:color w:val="000000" w:themeColor="text1"/>
                <w:szCs w:val="24"/>
              </w:rPr>
            </w:pPr>
            <w:r>
              <w:rPr>
                <w:rFonts w:ascii="宋体" w:eastAsia="宋体" w:cs="宋体"/>
                <w:color w:val="000000" w:themeColor="text1"/>
                <w:szCs w:val="24"/>
              </w:rPr>
              <w:t>5.泄露应当保密的对投标文件的评审和比较、中标候选人的推荐以及与招投标活动有关的其他情况和资料。</w:t>
            </w:r>
          </w:p>
        </w:tc>
        <w:tc>
          <w:tcPr>
            <w:tcW w:w="1020" w:type="dxa"/>
            <w:vMerge w:val="continue"/>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pPr>
              <w:pStyle w:val="4"/>
              <w:widowControl/>
              <w:wordWrap w:val="0"/>
              <w:spacing w:beforeAutospacing="1"/>
              <w:rPr>
                <w:rFonts w:ascii="宋体" w:eastAsia="宋体" w:cs="宋体"/>
                <w:color w:val="000000" w:themeColor="text1"/>
                <w:szCs w:val="24"/>
              </w:rPr>
            </w:pPr>
          </w:p>
        </w:tc>
        <w:tc>
          <w:tcPr>
            <w:tcW w:w="821" w:type="dxa"/>
            <w:vMerge w:val="continue"/>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pPr>
              <w:pStyle w:val="4"/>
              <w:widowControl/>
              <w:wordWrap w:val="0"/>
              <w:spacing w:beforeAutospacing="1"/>
              <w:rPr>
                <w:rFonts w:ascii="宋体" w:eastAsia="宋体" w:cs="宋体"/>
                <w:color w:val="000000" w:themeColor="text1"/>
                <w:szCs w:val="24"/>
              </w:rPr>
            </w:pPr>
          </w:p>
        </w:tc>
      </w:tr>
      <w:tr>
        <w:tblPrEx>
          <w:tblBorders>
            <w:top w:val="single" w:color="CCCCCC" w:sz="6" w:space="0"/>
            <w:left w:val="single" w:color="CCCCCC" w:sz="6" w:space="0"/>
            <w:bottom w:val="single" w:color="CCCCCC" w:sz="6" w:space="0"/>
            <w:right w:val="single" w:color="CCCCCC" w:sz="6" w:space="0"/>
            <w:insideH w:val="outset" w:color="auto" w:sz="6" w:space="0"/>
            <w:insideV w:val="outset" w:color="auto" w:sz="6" w:space="0"/>
          </w:tblBorders>
          <w:tblCellMar>
            <w:top w:w="105" w:type="dxa"/>
            <w:left w:w="105" w:type="dxa"/>
            <w:bottom w:w="105" w:type="dxa"/>
            <w:right w:w="105" w:type="dxa"/>
          </w:tblCellMar>
        </w:tblPrEx>
        <w:trPr>
          <w:trHeight w:val="1180" w:hRule="atLeast"/>
          <w:tblCellSpacing w:w="0" w:type="dxa"/>
          <w:jc w:val="center"/>
        </w:trPr>
        <w:tc>
          <w:tcPr>
            <w:tcW w:w="1076" w:type="dxa"/>
            <w:vMerge w:val="continue"/>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tc>
        <w:tc>
          <w:tcPr>
            <w:tcW w:w="5711" w:type="dxa"/>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pPr>
              <w:pStyle w:val="4"/>
              <w:widowControl/>
              <w:wordWrap w:val="0"/>
              <w:spacing w:beforeAutospacing="1"/>
              <w:rPr>
                <w:rFonts w:ascii="宋体" w:eastAsia="宋体" w:cs="宋体"/>
                <w:color w:val="000000" w:themeColor="text1"/>
                <w:szCs w:val="24"/>
              </w:rPr>
            </w:pPr>
            <w:r>
              <w:rPr>
                <w:rFonts w:ascii="宋体" w:eastAsia="宋体" w:cs="宋体"/>
                <w:color w:val="000000" w:themeColor="text1"/>
                <w:szCs w:val="24"/>
              </w:rPr>
              <w:t>6.在工作检查中无正当理由拒绝接受住房城乡建设主管部门开展的工作业务调查、工作检查等或在调查、工作检查中隐瞒有关情况或提供虚假材料的。</w:t>
            </w:r>
          </w:p>
        </w:tc>
        <w:tc>
          <w:tcPr>
            <w:tcW w:w="1020" w:type="dxa"/>
            <w:vMerge w:val="continue"/>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pPr>
              <w:pStyle w:val="4"/>
              <w:widowControl/>
              <w:wordWrap w:val="0"/>
              <w:spacing w:beforeAutospacing="1"/>
              <w:rPr>
                <w:rFonts w:ascii="宋体" w:eastAsia="宋体" w:cs="宋体"/>
                <w:color w:val="000000" w:themeColor="text1"/>
                <w:szCs w:val="24"/>
              </w:rPr>
            </w:pPr>
          </w:p>
        </w:tc>
        <w:tc>
          <w:tcPr>
            <w:tcW w:w="821" w:type="dxa"/>
            <w:vMerge w:val="continue"/>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pPr>
              <w:pStyle w:val="4"/>
              <w:widowControl/>
              <w:wordWrap w:val="0"/>
              <w:spacing w:beforeAutospacing="1"/>
              <w:rPr>
                <w:rFonts w:ascii="宋体" w:eastAsia="宋体" w:cs="宋体"/>
                <w:color w:val="000000" w:themeColor="text1"/>
                <w:szCs w:val="24"/>
              </w:rPr>
            </w:pPr>
          </w:p>
        </w:tc>
      </w:tr>
      <w:tr>
        <w:tblPrEx>
          <w:tblBorders>
            <w:top w:val="single" w:color="CCCCCC" w:sz="6" w:space="0"/>
            <w:left w:val="single" w:color="CCCCCC" w:sz="6" w:space="0"/>
            <w:bottom w:val="single" w:color="CCCCCC" w:sz="6" w:space="0"/>
            <w:right w:val="single" w:color="CCCCCC" w:sz="6" w:space="0"/>
            <w:insideH w:val="outset" w:color="auto" w:sz="6" w:space="0"/>
            <w:insideV w:val="outset" w:color="auto" w:sz="6" w:space="0"/>
          </w:tblBorders>
          <w:tblCellMar>
            <w:top w:w="105" w:type="dxa"/>
            <w:left w:w="105" w:type="dxa"/>
            <w:bottom w:w="105" w:type="dxa"/>
            <w:right w:w="105" w:type="dxa"/>
          </w:tblCellMar>
        </w:tblPrEx>
        <w:trPr>
          <w:trHeight w:val="4179" w:hRule="atLeast"/>
          <w:tblCellSpacing w:w="0" w:type="dxa"/>
          <w:jc w:val="center"/>
        </w:trPr>
        <w:tc>
          <w:tcPr>
            <w:tcW w:w="1076" w:type="dxa"/>
            <w:vMerge w:val="continue"/>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tc>
        <w:tc>
          <w:tcPr>
            <w:tcW w:w="5711" w:type="dxa"/>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pPr>
              <w:pStyle w:val="4"/>
              <w:widowControl/>
              <w:numPr>
                <w:ilvl w:val="0"/>
                <w:numId w:val="1"/>
              </w:numPr>
              <w:wordWrap w:val="0"/>
              <w:spacing w:beforeAutospacing="1"/>
              <w:rPr>
                <w:rFonts w:ascii="宋体" w:eastAsia="宋体" w:cs="宋体"/>
                <w:color w:val="000000" w:themeColor="text1"/>
                <w:szCs w:val="24"/>
              </w:rPr>
            </w:pPr>
            <w:r>
              <w:rPr>
                <w:rFonts w:hint="eastAsia" w:ascii="宋体" w:eastAsia="宋体" w:cs="宋体"/>
                <w:color w:val="000000" w:themeColor="text1"/>
                <w:szCs w:val="24"/>
              </w:rPr>
              <w:t>因房建、市政基础设施项目以下招标行为受到行政处罚的。（1）在从事招标代理活动中，帮助招标人必须招标的项目而不招标，将必须进行招标的项目化整为零或者以其他任何方式规避招标的，单位直接负责主管人员或其他直接责任人员违法受到刑事处分的（以法院判决书为依据）。（2）协助招标项目的各方当事人实施违法行为，受到行政处罚或刑事处分的。（以行政部门处罚文件或法院判决书为依据）（3）采用弄虚作假、行贿等不正当手段承接招标代理业务的。（以行政部门处罚文件为依据）</w:t>
            </w:r>
          </w:p>
        </w:tc>
        <w:tc>
          <w:tcPr>
            <w:tcW w:w="1020" w:type="dxa"/>
            <w:vMerge w:val="continue"/>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pPr>
              <w:pStyle w:val="4"/>
              <w:widowControl/>
              <w:wordWrap w:val="0"/>
              <w:spacing w:beforeAutospacing="1"/>
              <w:rPr>
                <w:rFonts w:ascii="宋体" w:eastAsia="宋体" w:cs="宋体"/>
                <w:color w:val="000000" w:themeColor="text1"/>
                <w:szCs w:val="24"/>
              </w:rPr>
            </w:pPr>
          </w:p>
        </w:tc>
        <w:tc>
          <w:tcPr>
            <w:tcW w:w="821" w:type="dxa"/>
            <w:vMerge w:val="continue"/>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pPr>
              <w:pStyle w:val="4"/>
              <w:widowControl/>
              <w:wordWrap w:val="0"/>
              <w:spacing w:beforeAutospacing="1"/>
              <w:rPr>
                <w:rFonts w:ascii="宋体" w:eastAsia="宋体" w:cs="宋体"/>
                <w:color w:val="000000" w:themeColor="text1"/>
                <w:szCs w:val="24"/>
              </w:rPr>
            </w:pPr>
          </w:p>
        </w:tc>
      </w:tr>
      <w:tr>
        <w:tblPrEx>
          <w:tblBorders>
            <w:top w:val="single" w:color="CCCCCC" w:sz="6" w:space="0"/>
            <w:left w:val="single" w:color="CCCCCC" w:sz="6" w:space="0"/>
            <w:bottom w:val="single" w:color="CCCCCC" w:sz="6" w:space="0"/>
            <w:right w:val="single" w:color="CCCCCC" w:sz="6" w:space="0"/>
            <w:insideH w:val="outset" w:color="auto" w:sz="6" w:space="0"/>
            <w:insideV w:val="outset" w:color="auto" w:sz="6" w:space="0"/>
          </w:tblBorders>
          <w:tblCellMar>
            <w:top w:w="105" w:type="dxa"/>
            <w:left w:w="105" w:type="dxa"/>
            <w:bottom w:w="105" w:type="dxa"/>
            <w:right w:w="105" w:type="dxa"/>
          </w:tblCellMar>
        </w:tblPrEx>
        <w:trPr>
          <w:trHeight w:val="232" w:hRule="atLeast"/>
          <w:tblCellSpacing w:w="0" w:type="dxa"/>
          <w:jc w:val="center"/>
        </w:trPr>
        <w:tc>
          <w:tcPr>
            <w:tcW w:w="1076" w:type="dxa"/>
            <w:vMerge w:val="restart"/>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pPr>
              <w:pStyle w:val="4"/>
              <w:widowControl/>
              <w:wordWrap w:val="0"/>
              <w:spacing w:beforeAutospacing="1" w:afterAutospacing="1"/>
              <w:jc w:val="center"/>
              <w:rPr>
                <w:rFonts w:eastAsia="宋体"/>
                <w:szCs w:val="24"/>
              </w:rPr>
            </w:pPr>
            <w:r>
              <w:rPr>
                <w:rFonts w:ascii="cursive" w:hAnsi="cursive" w:eastAsia="cursive" w:cs="cursive"/>
                <w:b/>
                <w:bCs/>
                <w:szCs w:val="24"/>
              </w:rPr>
              <w:t>（</w:t>
            </w:r>
            <w:r>
              <w:rPr>
                <w:rFonts w:hint="eastAsia" w:ascii="cursive" w:hAnsi="cursive" w:cs="cursive"/>
                <w:b/>
                <w:bCs/>
                <w:szCs w:val="24"/>
              </w:rPr>
              <w:t>二</w:t>
            </w:r>
            <w:r>
              <w:rPr>
                <w:rFonts w:ascii="cursive" w:hAnsi="cursive" w:eastAsia="cursive" w:cs="cursive"/>
                <w:b/>
                <w:bCs/>
                <w:szCs w:val="24"/>
              </w:rPr>
              <w:t>）</w:t>
            </w:r>
            <w:r>
              <w:rPr>
                <w:rFonts w:hint="eastAsia"/>
                <w:b/>
                <w:bCs/>
                <w:szCs w:val="24"/>
              </w:rPr>
              <w:t>严重不规范行为</w:t>
            </w:r>
          </w:p>
        </w:tc>
        <w:tc>
          <w:tcPr>
            <w:tcW w:w="5711" w:type="dxa"/>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pPr>
              <w:pStyle w:val="4"/>
              <w:widowControl/>
              <w:wordWrap w:val="0"/>
              <w:spacing w:beforeAutospacing="1"/>
              <w:rPr>
                <w:rFonts w:ascii="宋体" w:eastAsia="宋体" w:cs="宋体"/>
                <w:color w:val="000000" w:themeColor="text1"/>
                <w:szCs w:val="24"/>
              </w:rPr>
            </w:pPr>
            <w:r>
              <w:rPr>
                <w:rFonts w:hint="eastAsia" w:ascii="宋体" w:eastAsia="宋体" w:cs="宋体"/>
                <w:color w:val="000000" w:themeColor="text1"/>
                <w:szCs w:val="24"/>
              </w:rPr>
              <w:t>1．发生下列情形之一，导致不能或没有按招标文件的规定开标或评标，对中标结果造成实质性影响，且不能采取补救措施予以纠正，最终造成招标、投标、中标无效的：</w:t>
            </w:r>
          </w:p>
          <w:p>
            <w:pPr>
              <w:pStyle w:val="4"/>
              <w:widowControl/>
              <w:wordWrap w:val="0"/>
              <w:spacing w:beforeAutospacing="1"/>
              <w:rPr>
                <w:rFonts w:ascii="宋体" w:eastAsia="宋体" w:cs="宋体"/>
                <w:color w:val="000000" w:themeColor="text1"/>
                <w:szCs w:val="24"/>
              </w:rPr>
            </w:pPr>
            <w:r>
              <w:rPr>
                <w:rFonts w:hint="eastAsia" w:ascii="宋体" w:eastAsia="宋体" w:cs="宋体"/>
                <w:color w:val="000000" w:themeColor="text1"/>
                <w:szCs w:val="24"/>
              </w:rPr>
              <w:t>（1）投标截止时间前，无合理理由拒绝接收已经按招标文件规定密封合格的投标文件的；</w:t>
            </w:r>
          </w:p>
          <w:p>
            <w:pPr>
              <w:pStyle w:val="4"/>
              <w:widowControl/>
              <w:wordWrap w:val="0"/>
              <w:spacing w:beforeAutospacing="1"/>
              <w:rPr>
                <w:rFonts w:ascii="宋体" w:eastAsia="宋体" w:cs="宋体"/>
                <w:color w:val="000000" w:themeColor="text1"/>
                <w:szCs w:val="24"/>
              </w:rPr>
            </w:pPr>
            <w:r>
              <w:rPr>
                <w:rFonts w:hint="eastAsia" w:ascii="宋体" w:eastAsia="宋体" w:cs="宋体"/>
                <w:color w:val="000000" w:themeColor="text1"/>
                <w:szCs w:val="24"/>
              </w:rPr>
              <w:t>（2）组织评标时，提供给评标委员会评标所使用的招标文件与发出的招标文件不一致的；</w:t>
            </w:r>
          </w:p>
          <w:p>
            <w:pPr>
              <w:pStyle w:val="4"/>
              <w:widowControl/>
              <w:wordWrap w:val="0"/>
              <w:spacing w:beforeAutospacing="1"/>
              <w:rPr>
                <w:rFonts w:ascii="宋体" w:eastAsia="宋体" w:cs="宋体"/>
                <w:color w:val="000000" w:themeColor="text1"/>
                <w:szCs w:val="24"/>
              </w:rPr>
            </w:pPr>
            <w:r>
              <w:rPr>
                <w:rFonts w:hint="eastAsia" w:ascii="宋体" w:eastAsia="宋体" w:cs="宋体"/>
                <w:color w:val="000000" w:themeColor="text1"/>
                <w:szCs w:val="24"/>
              </w:rPr>
              <w:t>（3）在评标过程中暗示评委或干扰评委评标等不当行为，致使评标不能客观公正的；</w:t>
            </w:r>
          </w:p>
          <w:p>
            <w:pPr>
              <w:pStyle w:val="4"/>
              <w:widowControl/>
              <w:wordWrap w:val="0"/>
              <w:spacing w:beforeAutospacing="1"/>
              <w:rPr>
                <w:rFonts w:ascii="宋体" w:eastAsia="宋体" w:cs="宋体"/>
                <w:color w:val="000000" w:themeColor="text1"/>
                <w:szCs w:val="24"/>
              </w:rPr>
            </w:pPr>
            <w:r>
              <w:rPr>
                <w:rFonts w:hint="eastAsia" w:ascii="宋体" w:eastAsia="宋体" w:cs="宋体"/>
                <w:color w:val="000000" w:themeColor="text1"/>
                <w:szCs w:val="24"/>
              </w:rPr>
              <w:t>（4）在项目开标过程中，对投标人针对开标过程提出的异议不予解释澄清，导致项目不能正常进行的；</w:t>
            </w:r>
          </w:p>
          <w:p>
            <w:pPr>
              <w:pStyle w:val="4"/>
              <w:widowControl/>
              <w:wordWrap w:val="0"/>
              <w:spacing w:beforeAutospacing="1"/>
              <w:rPr>
                <w:rFonts w:ascii="宋体" w:eastAsia="宋体" w:cs="宋体"/>
                <w:color w:val="000000" w:themeColor="text1"/>
                <w:szCs w:val="24"/>
              </w:rPr>
            </w:pPr>
            <w:r>
              <w:rPr>
                <w:rFonts w:hint="eastAsia" w:ascii="宋体" w:eastAsia="宋体" w:cs="宋体"/>
                <w:color w:val="000000" w:themeColor="text1"/>
                <w:szCs w:val="24"/>
              </w:rPr>
              <w:t>（5）在项目评标过程中，对评标专家针对招标文件内容提出的询问不予解释澄清，导致项目不能正常进行的；</w:t>
            </w:r>
          </w:p>
          <w:p>
            <w:pPr>
              <w:pStyle w:val="4"/>
              <w:widowControl/>
              <w:wordWrap w:val="0"/>
              <w:spacing w:beforeAutospacing="1"/>
              <w:rPr>
                <w:rFonts w:ascii="宋体" w:eastAsia="宋体" w:cs="宋体"/>
                <w:color w:val="000000" w:themeColor="text1"/>
                <w:szCs w:val="24"/>
              </w:rPr>
            </w:pPr>
            <w:r>
              <w:rPr>
                <w:rFonts w:hint="eastAsia" w:ascii="宋体" w:eastAsia="宋体" w:cs="宋体"/>
                <w:color w:val="000000" w:themeColor="text1"/>
                <w:szCs w:val="24"/>
              </w:rPr>
              <w:t>（6）因编制的招标文件错漏或前后条款矛盾而导致开标、评标活动无法执行的；</w:t>
            </w:r>
          </w:p>
          <w:p>
            <w:pPr>
              <w:pStyle w:val="4"/>
              <w:widowControl/>
              <w:wordWrap w:val="0"/>
              <w:spacing w:beforeAutospacing="1"/>
              <w:rPr>
                <w:rFonts w:ascii="宋体" w:eastAsia="宋体" w:cs="宋体"/>
                <w:color w:val="000000" w:themeColor="text1"/>
                <w:szCs w:val="24"/>
              </w:rPr>
            </w:pPr>
            <w:r>
              <w:rPr>
                <w:rFonts w:hint="eastAsia" w:ascii="宋体" w:eastAsia="宋体" w:cs="宋体"/>
                <w:color w:val="000000" w:themeColor="text1"/>
                <w:szCs w:val="24"/>
              </w:rPr>
              <w:t>（7）在招标投标活动中出现群体事件等异常情况，未及时向相关监管部门反映或拒绝配合相关部门加以制止的；</w:t>
            </w:r>
          </w:p>
          <w:p>
            <w:pPr>
              <w:pStyle w:val="4"/>
              <w:widowControl/>
              <w:wordWrap w:val="0"/>
              <w:spacing w:beforeAutospacing="1"/>
              <w:rPr>
                <w:rFonts w:ascii="宋体" w:eastAsia="宋体" w:cs="宋体"/>
                <w:color w:val="000000" w:themeColor="text1"/>
                <w:szCs w:val="24"/>
              </w:rPr>
            </w:pPr>
            <w:r>
              <w:rPr>
                <w:rFonts w:hint="eastAsia" w:ascii="宋体" w:eastAsia="宋体" w:cs="宋体"/>
                <w:color w:val="000000" w:themeColor="text1"/>
                <w:szCs w:val="24"/>
              </w:rPr>
              <w:t>（8）超越委托代理权限擅自以招标人名义作为的；</w:t>
            </w:r>
          </w:p>
          <w:p>
            <w:pPr>
              <w:pStyle w:val="4"/>
              <w:widowControl/>
              <w:wordWrap w:val="0"/>
              <w:spacing w:beforeAutospacing="1"/>
              <w:rPr>
                <w:rFonts w:ascii="宋体" w:eastAsia="宋体" w:cs="宋体"/>
                <w:color w:val="000000" w:themeColor="text1"/>
                <w:szCs w:val="24"/>
              </w:rPr>
            </w:pPr>
            <w:r>
              <w:rPr>
                <w:rFonts w:hint="eastAsia" w:ascii="宋体" w:eastAsia="宋体" w:cs="宋体"/>
                <w:color w:val="000000" w:themeColor="text1"/>
                <w:szCs w:val="24"/>
              </w:rPr>
              <w:t>（9）因招标代理的工作失误导致招标工作需要重新组织招投标的；</w:t>
            </w:r>
          </w:p>
          <w:p>
            <w:pPr>
              <w:pStyle w:val="4"/>
              <w:widowControl/>
              <w:wordWrap w:val="0"/>
              <w:spacing w:beforeAutospacing="1"/>
              <w:rPr>
                <w:rFonts w:ascii="宋体" w:eastAsia="宋体" w:cs="宋体"/>
                <w:color w:val="000000" w:themeColor="text1"/>
                <w:szCs w:val="24"/>
              </w:rPr>
            </w:pPr>
            <w:r>
              <w:rPr>
                <w:rFonts w:hint="eastAsia" w:ascii="宋体" w:eastAsia="宋体" w:cs="宋体"/>
                <w:color w:val="000000" w:themeColor="text1"/>
                <w:szCs w:val="24"/>
              </w:rPr>
              <w:t>（10）不服从交易中心工作人员管理，威胁、恐吓监督人员及相关工作人员的，导致影响其招标工作正常开展，并经交易中心书面核实确认的；</w:t>
            </w:r>
          </w:p>
          <w:p>
            <w:pPr>
              <w:pStyle w:val="4"/>
              <w:widowControl/>
              <w:wordWrap w:val="0"/>
              <w:spacing w:beforeAutospacing="1"/>
              <w:rPr>
                <w:rFonts w:ascii="宋体" w:eastAsia="宋体" w:cs="宋体"/>
                <w:color w:val="000000" w:themeColor="text1"/>
                <w:szCs w:val="24"/>
              </w:rPr>
            </w:pPr>
            <w:r>
              <w:rPr>
                <w:rFonts w:hint="eastAsia" w:ascii="宋体" w:eastAsia="宋体" w:cs="宋体"/>
                <w:color w:val="000000" w:themeColor="text1"/>
                <w:szCs w:val="24"/>
              </w:rPr>
              <w:t>（11）在开标时发现不同投标人的投标资料（包括电子资料）相互混装等情形而不报告监管部门的。</w:t>
            </w:r>
          </w:p>
          <w:p>
            <w:pPr>
              <w:pStyle w:val="4"/>
              <w:widowControl/>
              <w:wordWrap w:val="0"/>
              <w:spacing w:beforeAutospacing="1"/>
              <w:rPr>
                <w:rFonts w:ascii="宋体" w:eastAsia="宋体" w:cs="宋体"/>
                <w:color w:val="000000" w:themeColor="text1"/>
                <w:szCs w:val="24"/>
              </w:rPr>
            </w:pPr>
            <w:r>
              <w:rPr>
                <w:rFonts w:hint="eastAsia" w:ascii="宋体" w:eastAsia="宋体" w:cs="宋体"/>
                <w:color w:val="000000" w:themeColor="text1"/>
                <w:szCs w:val="24"/>
              </w:rPr>
              <w:t>（12）发现有由同一人或存在利益关系的几个利害关系人携带两个以上（含两个）投标人的企业资料参与领取招标资料，或代表两个以上（含两个）投标人缴纳或退还投标保证金、开标等情形而不报告监管部门。</w:t>
            </w:r>
          </w:p>
          <w:p>
            <w:pPr>
              <w:pStyle w:val="4"/>
              <w:widowControl/>
              <w:wordWrap w:val="0"/>
              <w:spacing w:beforeAutospacing="1"/>
              <w:rPr>
                <w:rFonts w:ascii="宋体" w:eastAsia="宋体" w:cs="宋体"/>
                <w:color w:val="000000" w:themeColor="text1"/>
                <w:szCs w:val="24"/>
              </w:rPr>
            </w:pPr>
            <w:r>
              <w:rPr>
                <w:rFonts w:hint="eastAsia" w:ascii="宋体" w:eastAsia="宋体" w:cs="宋体"/>
                <w:color w:val="000000" w:themeColor="text1"/>
                <w:szCs w:val="24"/>
              </w:rPr>
              <w:t>（13）其他经主管部门认定由于招标代理机构在开评标过程中严重违反招投标程序、规定的行为导致招标、投标、中标无效的。</w:t>
            </w:r>
          </w:p>
        </w:tc>
        <w:tc>
          <w:tcPr>
            <w:tcW w:w="1020" w:type="dxa"/>
            <w:vMerge w:val="restart"/>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pPr>
              <w:pStyle w:val="4"/>
              <w:widowControl/>
              <w:wordWrap w:val="0"/>
              <w:spacing w:beforeAutospacing="1"/>
              <w:rPr>
                <w:rFonts w:ascii="宋体" w:eastAsia="宋体" w:cs="宋体"/>
                <w:color w:val="000000" w:themeColor="text1"/>
                <w:szCs w:val="24"/>
              </w:rPr>
            </w:pPr>
            <w:bookmarkStart w:id="0" w:name="_Hlk48663296"/>
            <w:bookmarkEnd w:id="0"/>
          </w:p>
          <w:p>
            <w:pPr>
              <w:pStyle w:val="4"/>
              <w:widowControl/>
              <w:wordWrap w:val="0"/>
              <w:spacing w:beforeAutospacing="1"/>
              <w:rPr>
                <w:rFonts w:ascii="宋体" w:eastAsia="宋体" w:cs="宋体"/>
                <w:color w:val="000000" w:themeColor="text1"/>
                <w:szCs w:val="24"/>
              </w:rPr>
            </w:pPr>
          </w:p>
          <w:p>
            <w:pPr>
              <w:pStyle w:val="4"/>
              <w:widowControl/>
              <w:wordWrap w:val="0"/>
              <w:spacing w:beforeAutospacing="1"/>
              <w:rPr>
                <w:rFonts w:ascii="宋体" w:eastAsia="宋体" w:cs="宋体"/>
                <w:color w:val="000000" w:themeColor="text1"/>
                <w:szCs w:val="24"/>
              </w:rPr>
            </w:pPr>
          </w:p>
          <w:p>
            <w:pPr>
              <w:pStyle w:val="4"/>
              <w:widowControl/>
              <w:wordWrap w:val="0"/>
              <w:spacing w:beforeAutospacing="1"/>
              <w:rPr>
                <w:rFonts w:ascii="宋体" w:eastAsia="宋体" w:cs="宋体"/>
                <w:color w:val="000000" w:themeColor="text1"/>
                <w:szCs w:val="24"/>
              </w:rPr>
            </w:pPr>
            <w:r>
              <w:rPr>
                <w:rFonts w:ascii="宋体" w:eastAsia="宋体" w:cs="宋体"/>
                <w:color w:val="000000" w:themeColor="text1"/>
                <w:szCs w:val="24"/>
              </w:rPr>
              <w:t>各级住房城乡建设主管部门</w:t>
            </w:r>
            <w:r>
              <w:rPr>
                <w:rFonts w:hint="eastAsia" w:ascii="宋体" w:eastAsia="宋体" w:cs="宋体"/>
                <w:color w:val="000000" w:themeColor="text1"/>
                <w:szCs w:val="24"/>
              </w:rPr>
              <w:t>、行业监管部门、市政管办、各级交易中心</w:t>
            </w:r>
          </w:p>
        </w:tc>
        <w:tc>
          <w:tcPr>
            <w:tcW w:w="821" w:type="dxa"/>
            <w:vMerge w:val="restart"/>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pPr>
              <w:pStyle w:val="4"/>
              <w:widowControl/>
              <w:wordWrap w:val="0"/>
              <w:spacing w:beforeAutospacing="1"/>
              <w:rPr>
                <w:rFonts w:ascii="宋体" w:eastAsia="宋体" w:cs="宋体"/>
                <w:color w:val="000000" w:themeColor="text1"/>
                <w:szCs w:val="24"/>
              </w:rPr>
            </w:pPr>
          </w:p>
          <w:p>
            <w:pPr>
              <w:pStyle w:val="4"/>
              <w:widowControl/>
              <w:wordWrap w:val="0"/>
              <w:spacing w:beforeAutospacing="1"/>
              <w:rPr>
                <w:rFonts w:ascii="宋体" w:eastAsia="宋体" w:cs="宋体"/>
                <w:color w:val="000000" w:themeColor="text1"/>
                <w:szCs w:val="24"/>
              </w:rPr>
            </w:pPr>
          </w:p>
          <w:p>
            <w:pPr>
              <w:pStyle w:val="4"/>
              <w:widowControl/>
              <w:wordWrap w:val="0"/>
              <w:spacing w:beforeAutospacing="1"/>
              <w:rPr>
                <w:rFonts w:ascii="宋体" w:eastAsia="宋体" w:cs="宋体"/>
                <w:color w:val="000000" w:themeColor="text1"/>
                <w:szCs w:val="24"/>
              </w:rPr>
            </w:pPr>
          </w:p>
          <w:p>
            <w:pPr>
              <w:pStyle w:val="4"/>
              <w:widowControl/>
              <w:wordWrap w:val="0"/>
              <w:spacing w:beforeAutospacing="1"/>
              <w:rPr>
                <w:rFonts w:ascii="宋体" w:eastAsia="宋体" w:cs="宋体"/>
                <w:color w:val="000000" w:themeColor="text1"/>
                <w:szCs w:val="24"/>
              </w:rPr>
            </w:pPr>
          </w:p>
          <w:p>
            <w:pPr>
              <w:pStyle w:val="4"/>
              <w:widowControl/>
              <w:wordWrap w:val="0"/>
              <w:spacing w:beforeAutospacing="1"/>
              <w:rPr>
                <w:rFonts w:ascii="宋体" w:eastAsia="宋体" w:cs="宋体"/>
                <w:color w:val="000000" w:themeColor="text1"/>
                <w:szCs w:val="24"/>
              </w:rPr>
            </w:pPr>
          </w:p>
          <w:p>
            <w:pPr>
              <w:pStyle w:val="4"/>
              <w:widowControl/>
              <w:wordWrap w:val="0"/>
              <w:spacing w:beforeAutospacing="1"/>
              <w:rPr>
                <w:rFonts w:ascii="宋体" w:eastAsia="宋体" w:cs="宋体"/>
                <w:color w:val="000000" w:themeColor="text1"/>
                <w:szCs w:val="24"/>
              </w:rPr>
            </w:pPr>
          </w:p>
          <w:p>
            <w:pPr>
              <w:pStyle w:val="4"/>
              <w:widowControl/>
              <w:wordWrap w:val="0"/>
              <w:spacing w:beforeAutospacing="1"/>
              <w:rPr>
                <w:rFonts w:ascii="宋体" w:eastAsia="宋体" w:cs="宋体"/>
                <w:color w:val="000000" w:themeColor="text1"/>
                <w:szCs w:val="24"/>
              </w:rPr>
            </w:pPr>
          </w:p>
          <w:p>
            <w:pPr>
              <w:pStyle w:val="4"/>
              <w:widowControl/>
              <w:wordWrap w:val="0"/>
              <w:spacing w:beforeAutospacing="1"/>
              <w:rPr>
                <w:rFonts w:ascii="宋体" w:eastAsia="宋体" w:cs="宋体"/>
                <w:color w:val="000000" w:themeColor="text1"/>
                <w:szCs w:val="24"/>
              </w:rPr>
            </w:pPr>
          </w:p>
          <w:p>
            <w:pPr>
              <w:pStyle w:val="4"/>
              <w:widowControl/>
              <w:wordWrap w:val="0"/>
              <w:spacing w:beforeAutospacing="1"/>
              <w:rPr>
                <w:rFonts w:ascii="宋体" w:eastAsia="宋体" w:cs="宋体"/>
                <w:color w:val="000000" w:themeColor="text1"/>
                <w:szCs w:val="24"/>
              </w:rPr>
            </w:pPr>
          </w:p>
          <w:p>
            <w:pPr>
              <w:pStyle w:val="4"/>
              <w:widowControl/>
              <w:wordWrap w:val="0"/>
              <w:spacing w:beforeAutospacing="1"/>
              <w:rPr>
                <w:rFonts w:ascii="宋体" w:eastAsia="宋体" w:cs="宋体"/>
                <w:color w:val="000000" w:themeColor="text1"/>
                <w:szCs w:val="24"/>
              </w:rPr>
            </w:pPr>
          </w:p>
          <w:p>
            <w:pPr>
              <w:pStyle w:val="4"/>
              <w:widowControl/>
              <w:wordWrap w:val="0"/>
              <w:spacing w:beforeAutospacing="1"/>
              <w:rPr>
                <w:rFonts w:ascii="宋体" w:eastAsia="宋体" w:cs="宋体"/>
                <w:color w:val="000000" w:themeColor="text1"/>
                <w:szCs w:val="24"/>
              </w:rPr>
            </w:pPr>
          </w:p>
          <w:p>
            <w:pPr>
              <w:pStyle w:val="4"/>
              <w:widowControl/>
              <w:wordWrap w:val="0"/>
              <w:spacing w:beforeAutospacing="1"/>
              <w:rPr>
                <w:rFonts w:ascii="宋体" w:eastAsia="宋体" w:cs="宋体"/>
                <w:color w:val="000000" w:themeColor="text1"/>
                <w:szCs w:val="24"/>
              </w:rPr>
            </w:pPr>
          </w:p>
          <w:p>
            <w:pPr>
              <w:pStyle w:val="4"/>
              <w:widowControl/>
              <w:wordWrap w:val="0"/>
              <w:spacing w:beforeAutospacing="1"/>
              <w:rPr>
                <w:rFonts w:ascii="宋体" w:eastAsia="宋体" w:cs="宋体"/>
                <w:color w:val="000000" w:themeColor="text1"/>
                <w:szCs w:val="24"/>
              </w:rPr>
            </w:pPr>
            <w:r>
              <w:rPr>
                <w:rFonts w:hint="eastAsia" w:ascii="宋体" w:eastAsia="宋体" w:cs="宋体"/>
                <w:color w:val="000000" w:themeColor="text1"/>
                <w:szCs w:val="24"/>
              </w:rPr>
              <w:t>每发生1次扣10分</w:t>
            </w:r>
          </w:p>
          <w:p>
            <w:pPr>
              <w:pStyle w:val="4"/>
              <w:widowControl/>
              <w:wordWrap w:val="0"/>
              <w:spacing w:beforeAutospacing="1"/>
              <w:rPr>
                <w:rFonts w:ascii="宋体" w:eastAsia="宋体" w:cs="宋体"/>
                <w:color w:val="000000" w:themeColor="text1"/>
                <w:szCs w:val="24"/>
              </w:rPr>
            </w:pPr>
          </w:p>
          <w:p>
            <w:pPr>
              <w:pStyle w:val="4"/>
              <w:widowControl/>
              <w:wordWrap w:val="0"/>
              <w:spacing w:beforeAutospacing="1"/>
              <w:rPr>
                <w:rFonts w:ascii="宋体" w:eastAsia="宋体" w:cs="宋体"/>
                <w:color w:val="000000" w:themeColor="text1"/>
                <w:szCs w:val="24"/>
              </w:rPr>
            </w:pPr>
          </w:p>
          <w:p>
            <w:pPr>
              <w:pStyle w:val="4"/>
              <w:widowControl/>
              <w:wordWrap w:val="0"/>
              <w:spacing w:beforeAutospacing="1"/>
              <w:rPr>
                <w:rFonts w:ascii="宋体" w:eastAsia="宋体" w:cs="宋体"/>
                <w:color w:val="000000" w:themeColor="text1"/>
                <w:szCs w:val="24"/>
              </w:rPr>
            </w:pPr>
          </w:p>
          <w:p>
            <w:pPr>
              <w:pStyle w:val="4"/>
              <w:widowControl/>
              <w:wordWrap w:val="0"/>
              <w:spacing w:beforeAutospacing="1"/>
              <w:rPr>
                <w:rFonts w:ascii="宋体" w:eastAsia="宋体" w:cs="宋体"/>
                <w:color w:val="000000" w:themeColor="text1"/>
                <w:szCs w:val="24"/>
              </w:rPr>
            </w:pPr>
          </w:p>
          <w:p>
            <w:pPr>
              <w:pStyle w:val="4"/>
              <w:widowControl/>
              <w:wordWrap w:val="0"/>
              <w:spacing w:beforeAutospacing="1"/>
              <w:rPr>
                <w:rFonts w:ascii="宋体" w:eastAsia="宋体" w:cs="宋体"/>
                <w:color w:val="000000" w:themeColor="text1"/>
                <w:szCs w:val="24"/>
              </w:rPr>
            </w:pPr>
          </w:p>
          <w:p>
            <w:pPr>
              <w:pStyle w:val="4"/>
              <w:widowControl/>
              <w:wordWrap w:val="0"/>
              <w:spacing w:beforeAutospacing="1"/>
              <w:rPr>
                <w:rFonts w:ascii="宋体" w:eastAsia="宋体" w:cs="宋体"/>
                <w:color w:val="000000" w:themeColor="text1"/>
                <w:szCs w:val="24"/>
              </w:rPr>
            </w:pPr>
          </w:p>
          <w:p>
            <w:pPr>
              <w:pStyle w:val="4"/>
              <w:widowControl/>
              <w:wordWrap w:val="0"/>
              <w:spacing w:beforeAutospacing="1"/>
              <w:rPr>
                <w:rFonts w:ascii="宋体" w:eastAsia="宋体" w:cs="宋体"/>
                <w:color w:val="000000" w:themeColor="text1"/>
                <w:szCs w:val="24"/>
              </w:rPr>
            </w:pPr>
          </w:p>
          <w:p>
            <w:pPr>
              <w:pStyle w:val="4"/>
              <w:widowControl/>
              <w:wordWrap w:val="0"/>
              <w:spacing w:beforeAutospacing="1"/>
              <w:rPr>
                <w:rFonts w:ascii="宋体" w:eastAsia="宋体" w:cs="宋体"/>
                <w:color w:val="000000" w:themeColor="text1"/>
                <w:szCs w:val="24"/>
              </w:rPr>
            </w:pPr>
          </w:p>
          <w:p>
            <w:pPr>
              <w:pStyle w:val="4"/>
              <w:widowControl/>
              <w:wordWrap w:val="0"/>
              <w:spacing w:beforeAutospacing="1"/>
              <w:rPr>
                <w:rFonts w:ascii="宋体" w:eastAsia="宋体" w:cs="宋体"/>
                <w:color w:val="000000" w:themeColor="text1"/>
                <w:szCs w:val="24"/>
              </w:rPr>
            </w:pPr>
          </w:p>
          <w:p>
            <w:pPr>
              <w:pStyle w:val="4"/>
              <w:widowControl/>
              <w:wordWrap w:val="0"/>
              <w:spacing w:beforeAutospacing="1"/>
              <w:rPr>
                <w:rFonts w:ascii="宋体" w:eastAsia="宋体" w:cs="宋体"/>
                <w:color w:val="000000" w:themeColor="text1"/>
                <w:szCs w:val="24"/>
              </w:rPr>
            </w:pPr>
            <w:r>
              <w:rPr>
                <w:rFonts w:hint="eastAsia" w:ascii="宋体" w:eastAsia="宋体" w:cs="宋体"/>
                <w:color w:val="000000" w:themeColor="text1"/>
                <w:szCs w:val="24"/>
              </w:rPr>
              <w:t>每发生1次扣10分</w:t>
            </w:r>
          </w:p>
          <w:p>
            <w:pPr>
              <w:pStyle w:val="4"/>
              <w:widowControl/>
              <w:wordWrap w:val="0"/>
              <w:spacing w:beforeAutospacing="1"/>
              <w:rPr>
                <w:rFonts w:ascii="宋体" w:eastAsia="宋体" w:cs="宋体"/>
                <w:color w:val="000000" w:themeColor="text1"/>
                <w:szCs w:val="24"/>
              </w:rPr>
            </w:pPr>
          </w:p>
          <w:p>
            <w:pPr>
              <w:pStyle w:val="4"/>
              <w:widowControl/>
              <w:wordWrap w:val="0"/>
              <w:spacing w:beforeAutospacing="1"/>
              <w:rPr>
                <w:rFonts w:ascii="宋体" w:eastAsia="宋体" w:cs="宋体"/>
                <w:color w:val="000000" w:themeColor="text1"/>
                <w:szCs w:val="24"/>
              </w:rPr>
            </w:pPr>
          </w:p>
          <w:p>
            <w:pPr>
              <w:pStyle w:val="4"/>
              <w:widowControl/>
              <w:wordWrap w:val="0"/>
              <w:spacing w:beforeAutospacing="1"/>
              <w:rPr>
                <w:rFonts w:ascii="宋体" w:eastAsia="宋体" w:cs="宋体"/>
                <w:color w:val="000000" w:themeColor="text1"/>
                <w:szCs w:val="24"/>
              </w:rPr>
            </w:pPr>
          </w:p>
          <w:p>
            <w:pPr>
              <w:pStyle w:val="4"/>
              <w:widowControl/>
              <w:wordWrap w:val="0"/>
              <w:spacing w:beforeAutospacing="1"/>
              <w:rPr>
                <w:rFonts w:ascii="宋体" w:eastAsia="宋体" w:cs="宋体"/>
                <w:color w:val="000000" w:themeColor="text1"/>
                <w:szCs w:val="24"/>
              </w:rPr>
            </w:pPr>
          </w:p>
        </w:tc>
      </w:tr>
      <w:tr>
        <w:tblPrEx>
          <w:tblBorders>
            <w:top w:val="single" w:color="CCCCCC" w:sz="6" w:space="0"/>
            <w:left w:val="single" w:color="CCCCCC" w:sz="6" w:space="0"/>
            <w:bottom w:val="single" w:color="CCCCCC" w:sz="6" w:space="0"/>
            <w:right w:val="single" w:color="CCCCCC" w:sz="6" w:space="0"/>
            <w:insideH w:val="outset" w:color="auto" w:sz="6" w:space="0"/>
            <w:insideV w:val="outset" w:color="auto" w:sz="6" w:space="0"/>
          </w:tblBorders>
          <w:tblCellMar>
            <w:top w:w="105" w:type="dxa"/>
            <w:left w:w="105" w:type="dxa"/>
            <w:bottom w:w="105" w:type="dxa"/>
            <w:right w:w="105" w:type="dxa"/>
          </w:tblCellMar>
        </w:tblPrEx>
        <w:trPr>
          <w:trHeight w:val="1071" w:hRule="atLeast"/>
          <w:tblCellSpacing w:w="0" w:type="dxa"/>
          <w:jc w:val="center"/>
        </w:trPr>
        <w:tc>
          <w:tcPr>
            <w:tcW w:w="1076" w:type="dxa"/>
            <w:vMerge w:val="continue"/>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tc>
        <w:tc>
          <w:tcPr>
            <w:tcW w:w="5711" w:type="dxa"/>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pPr>
              <w:pStyle w:val="4"/>
              <w:widowControl/>
              <w:wordWrap w:val="0"/>
              <w:spacing w:beforeAutospacing="1"/>
              <w:rPr>
                <w:rFonts w:ascii="宋体" w:eastAsia="宋体" w:cs="宋体"/>
                <w:szCs w:val="24"/>
              </w:rPr>
            </w:pPr>
            <w:r>
              <w:rPr>
                <w:rFonts w:hint="eastAsia" w:ascii="宋体" w:eastAsia="宋体" w:cs="宋体"/>
                <w:szCs w:val="24"/>
              </w:rPr>
              <w:t>2.不按《中华人民共和国招标投标法实施条例》第三十二条要求编制招标文件，且无法采取补救措施予以纠正的。</w:t>
            </w:r>
          </w:p>
        </w:tc>
        <w:tc>
          <w:tcPr>
            <w:tcW w:w="1020" w:type="dxa"/>
            <w:vMerge w:val="continue"/>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tc>
        <w:tc>
          <w:tcPr>
            <w:tcW w:w="821" w:type="dxa"/>
            <w:vMerge w:val="continue"/>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tc>
      </w:tr>
      <w:tr>
        <w:tblPrEx>
          <w:tblBorders>
            <w:top w:val="single" w:color="CCCCCC" w:sz="6" w:space="0"/>
            <w:left w:val="single" w:color="CCCCCC" w:sz="6" w:space="0"/>
            <w:bottom w:val="single" w:color="CCCCCC" w:sz="6" w:space="0"/>
            <w:right w:val="single" w:color="CCCCCC" w:sz="6" w:space="0"/>
            <w:insideH w:val="outset" w:color="auto" w:sz="6" w:space="0"/>
            <w:insideV w:val="outset" w:color="auto" w:sz="6" w:space="0"/>
          </w:tblBorders>
          <w:tblCellMar>
            <w:top w:w="105" w:type="dxa"/>
            <w:left w:w="105" w:type="dxa"/>
            <w:bottom w:w="105" w:type="dxa"/>
            <w:right w:w="105" w:type="dxa"/>
          </w:tblCellMar>
        </w:tblPrEx>
        <w:trPr>
          <w:trHeight w:val="944" w:hRule="atLeast"/>
          <w:tblCellSpacing w:w="0" w:type="dxa"/>
          <w:jc w:val="center"/>
        </w:trPr>
        <w:tc>
          <w:tcPr>
            <w:tcW w:w="1076" w:type="dxa"/>
            <w:vMerge w:val="continue"/>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tc>
        <w:tc>
          <w:tcPr>
            <w:tcW w:w="5711" w:type="dxa"/>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pPr>
              <w:pStyle w:val="4"/>
              <w:widowControl/>
              <w:wordWrap w:val="0"/>
              <w:spacing w:beforeAutospacing="1"/>
              <w:rPr>
                <w:rFonts w:ascii="宋体" w:eastAsia="宋体" w:cs="宋体"/>
                <w:szCs w:val="24"/>
              </w:rPr>
            </w:pPr>
            <w:r>
              <w:rPr>
                <w:rFonts w:hint="eastAsia" w:ascii="宋体" w:eastAsia="宋体" w:cs="宋体"/>
                <w:szCs w:val="24"/>
              </w:rPr>
              <w:t>3.未按要求在交易中心及其他法定媒介网站发布项目的澄清公告、中标候选人公示、中标公告等。（将区厅版调整为严重不规范行为）</w:t>
            </w:r>
          </w:p>
        </w:tc>
        <w:tc>
          <w:tcPr>
            <w:tcW w:w="1020" w:type="dxa"/>
            <w:vMerge w:val="continue"/>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tc>
        <w:tc>
          <w:tcPr>
            <w:tcW w:w="821" w:type="dxa"/>
            <w:vMerge w:val="continue"/>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tc>
      </w:tr>
      <w:tr>
        <w:tblPrEx>
          <w:tblBorders>
            <w:top w:val="single" w:color="CCCCCC" w:sz="6" w:space="0"/>
            <w:left w:val="single" w:color="CCCCCC" w:sz="6" w:space="0"/>
            <w:bottom w:val="single" w:color="CCCCCC" w:sz="6" w:space="0"/>
            <w:right w:val="single" w:color="CCCCCC" w:sz="6" w:space="0"/>
            <w:insideH w:val="outset" w:color="auto" w:sz="6" w:space="0"/>
            <w:insideV w:val="outset" w:color="auto" w:sz="6" w:space="0"/>
          </w:tblBorders>
          <w:tblCellMar>
            <w:top w:w="105" w:type="dxa"/>
            <w:left w:w="105" w:type="dxa"/>
            <w:bottom w:w="105" w:type="dxa"/>
            <w:right w:w="105" w:type="dxa"/>
          </w:tblCellMar>
        </w:tblPrEx>
        <w:trPr>
          <w:trHeight w:val="623" w:hRule="atLeast"/>
          <w:tblCellSpacing w:w="0" w:type="dxa"/>
          <w:jc w:val="center"/>
        </w:trPr>
        <w:tc>
          <w:tcPr>
            <w:tcW w:w="1076" w:type="dxa"/>
            <w:vMerge w:val="continue"/>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tc>
        <w:tc>
          <w:tcPr>
            <w:tcW w:w="5711" w:type="dxa"/>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pPr>
              <w:pStyle w:val="4"/>
              <w:widowControl/>
              <w:wordWrap w:val="0"/>
              <w:spacing w:beforeAutospacing="1"/>
              <w:rPr>
                <w:rFonts w:ascii="宋体" w:eastAsia="宋体" w:cs="宋体"/>
                <w:szCs w:val="24"/>
              </w:rPr>
            </w:pPr>
            <w:r>
              <w:rPr>
                <w:rFonts w:hint="eastAsia" w:ascii="宋体" w:eastAsia="宋体" w:cs="宋体"/>
                <w:szCs w:val="24"/>
              </w:rPr>
              <w:t>4.受到行政主管部门通报批评</w:t>
            </w:r>
            <w:r>
              <w:rPr>
                <w:rFonts w:hint="eastAsia" w:ascii="宋体" w:cs="宋体"/>
                <w:szCs w:val="24"/>
              </w:rPr>
              <w:t>。</w:t>
            </w:r>
          </w:p>
        </w:tc>
        <w:tc>
          <w:tcPr>
            <w:tcW w:w="1020" w:type="dxa"/>
            <w:vMerge w:val="continue"/>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tc>
        <w:tc>
          <w:tcPr>
            <w:tcW w:w="821" w:type="dxa"/>
            <w:vMerge w:val="continue"/>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tc>
      </w:tr>
      <w:tr>
        <w:tblPrEx>
          <w:tblBorders>
            <w:top w:val="single" w:color="CCCCCC" w:sz="6" w:space="0"/>
            <w:left w:val="single" w:color="CCCCCC" w:sz="6" w:space="0"/>
            <w:bottom w:val="single" w:color="CCCCCC" w:sz="6" w:space="0"/>
            <w:right w:val="single" w:color="CCCCCC" w:sz="6" w:space="0"/>
            <w:insideH w:val="outset" w:color="auto" w:sz="6" w:space="0"/>
            <w:insideV w:val="outset" w:color="auto" w:sz="6" w:space="0"/>
          </w:tblBorders>
          <w:tblCellMar>
            <w:top w:w="105" w:type="dxa"/>
            <w:left w:w="105" w:type="dxa"/>
            <w:bottom w:w="105" w:type="dxa"/>
            <w:right w:w="105" w:type="dxa"/>
          </w:tblCellMar>
        </w:tblPrEx>
        <w:trPr>
          <w:trHeight w:val="3744" w:hRule="atLeast"/>
          <w:tblCellSpacing w:w="0" w:type="dxa"/>
          <w:jc w:val="center"/>
        </w:trPr>
        <w:tc>
          <w:tcPr>
            <w:tcW w:w="1076" w:type="dxa"/>
            <w:vMerge w:val="restart"/>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pPr>
              <w:pStyle w:val="4"/>
              <w:widowControl/>
              <w:wordWrap w:val="0"/>
              <w:spacing w:beforeAutospacing="1" w:afterAutospacing="1"/>
              <w:jc w:val="center"/>
              <w:rPr>
                <w:rFonts w:ascii="cursive" w:hAnsi="cursive" w:eastAsia="cursive" w:cs="cursive"/>
                <w:b/>
                <w:bCs/>
                <w:szCs w:val="24"/>
              </w:rPr>
            </w:pPr>
          </w:p>
          <w:p>
            <w:pPr>
              <w:pStyle w:val="4"/>
              <w:widowControl/>
              <w:wordWrap w:val="0"/>
              <w:spacing w:beforeAutospacing="1" w:afterAutospacing="1"/>
              <w:jc w:val="center"/>
              <w:rPr>
                <w:rFonts w:ascii="cursive" w:hAnsi="cursive" w:eastAsia="cursive" w:cs="cursive"/>
                <w:b/>
                <w:bCs/>
                <w:szCs w:val="24"/>
              </w:rPr>
            </w:pPr>
          </w:p>
          <w:p>
            <w:pPr>
              <w:pStyle w:val="4"/>
              <w:widowControl/>
              <w:wordWrap w:val="0"/>
              <w:spacing w:beforeAutospacing="1" w:afterAutospacing="1"/>
              <w:jc w:val="center"/>
              <w:rPr>
                <w:rFonts w:ascii="cursive" w:hAnsi="cursive" w:eastAsia="cursive" w:cs="cursive"/>
                <w:b/>
                <w:bCs/>
                <w:szCs w:val="24"/>
              </w:rPr>
            </w:pPr>
          </w:p>
          <w:p>
            <w:pPr>
              <w:pStyle w:val="4"/>
              <w:widowControl/>
              <w:wordWrap w:val="0"/>
              <w:spacing w:beforeAutospacing="1" w:afterAutospacing="1"/>
              <w:jc w:val="center"/>
              <w:rPr>
                <w:rFonts w:ascii="cursive" w:hAnsi="cursive" w:eastAsia="cursive" w:cs="cursive"/>
                <w:b/>
                <w:bCs/>
                <w:szCs w:val="24"/>
              </w:rPr>
            </w:pPr>
            <w:r>
              <w:rPr>
                <w:rFonts w:ascii="cursive" w:hAnsi="cursive" w:eastAsia="cursive" w:cs="cursive"/>
                <w:b/>
                <w:bCs/>
                <w:szCs w:val="24"/>
              </w:rPr>
              <w:t>（</w:t>
            </w:r>
            <w:r>
              <w:rPr>
                <w:rFonts w:hint="eastAsia" w:ascii="cursive" w:hAnsi="cursive" w:cs="cursive"/>
                <w:b/>
                <w:bCs/>
                <w:szCs w:val="24"/>
              </w:rPr>
              <w:t>三</w:t>
            </w:r>
            <w:r>
              <w:rPr>
                <w:rFonts w:ascii="cursive" w:hAnsi="cursive" w:eastAsia="cursive" w:cs="cursive"/>
                <w:b/>
                <w:bCs/>
                <w:szCs w:val="24"/>
              </w:rPr>
              <w:t>）一般不规范行为</w:t>
            </w:r>
          </w:p>
          <w:p>
            <w:pPr>
              <w:widowControl/>
              <w:wordWrap w:val="0"/>
              <w:spacing w:beforeAutospacing="1" w:afterAutospacing="1"/>
              <w:jc w:val="center"/>
              <w:rPr>
                <w:rFonts w:ascii="cursive" w:hAnsi="cursive" w:eastAsia="cursive" w:cs="cursive"/>
                <w:sz w:val="24"/>
                <w:szCs w:val="24"/>
              </w:rPr>
            </w:pPr>
          </w:p>
          <w:p>
            <w:pPr>
              <w:widowControl/>
              <w:wordWrap w:val="0"/>
              <w:spacing w:beforeAutospacing="1" w:afterAutospacing="1"/>
              <w:jc w:val="center"/>
              <w:rPr>
                <w:rFonts w:ascii="cursive" w:hAnsi="cursive" w:eastAsia="cursive" w:cs="cursive"/>
                <w:sz w:val="24"/>
                <w:szCs w:val="24"/>
              </w:rPr>
            </w:pPr>
          </w:p>
          <w:p>
            <w:pPr>
              <w:widowControl/>
              <w:wordWrap w:val="0"/>
              <w:spacing w:beforeAutospacing="1" w:afterAutospacing="1"/>
              <w:jc w:val="center"/>
              <w:rPr>
                <w:rFonts w:ascii="cursive" w:hAnsi="cursive" w:eastAsia="cursive" w:cs="cursive"/>
                <w:sz w:val="24"/>
                <w:szCs w:val="24"/>
              </w:rPr>
            </w:pPr>
          </w:p>
          <w:p>
            <w:pPr>
              <w:widowControl/>
              <w:wordWrap w:val="0"/>
              <w:spacing w:beforeAutospacing="1" w:afterAutospacing="1"/>
              <w:jc w:val="center"/>
              <w:rPr>
                <w:rFonts w:ascii="cursive" w:hAnsi="cursive" w:eastAsia="cursive" w:cs="cursive"/>
                <w:sz w:val="24"/>
                <w:szCs w:val="24"/>
              </w:rPr>
            </w:pPr>
          </w:p>
          <w:p>
            <w:pPr>
              <w:widowControl/>
              <w:wordWrap w:val="0"/>
              <w:spacing w:beforeAutospacing="1" w:afterAutospacing="1"/>
              <w:jc w:val="center"/>
              <w:rPr>
                <w:rFonts w:ascii="cursive" w:hAnsi="cursive" w:eastAsia="cursive" w:cs="cursive"/>
                <w:sz w:val="24"/>
                <w:szCs w:val="24"/>
              </w:rPr>
            </w:pPr>
          </w:p>
          <w:p>
            <w:pPr>
              <w:widowControl/>
              <w:wordWrap w:val="0"/>
              <w:spacing w:beforeAutospacing="1" w:afterAutospacing="1"/>
              <w:jc w:val="center"/>
              <w:rPr>
                <w:rFonts w:ascii="cursive" w:hAnsi="cursive" w:eastAsia="cursive" w:cs="cursive"/>
                <w:sz w:val="24"/>
                <w:szCs w:val="24"/>
              </w:rPr>
            </w:pPr>
          </w:p>
          <w:p>
            <w:pPr>
              <w:widowControl/>
              <w:wordWrap w:val="0"/>
              <w:spacing w:beforeAutospacing="1" w:afterAutospacing="1"/>
              <w:jc w:val="center"/>
              <w:rPr>
                <w:rFonts w:ascii="cursive" w:hAnsi="cursive" w:eastAsia="cursive" w:cs="cursive"/>
                <w:sz w:val="24"/>
                <w:szCs w:val="24"/>
              </w:rPr>
            </w:pPr>
          </w:p>
          <w:p>
            <w:pPr>
              <w:widowControl/>
              <w:wordWrap w:val="0"/>
              <w:spacing w:beforeAutospacing="1" w:afterAutospacing="1"/>
              <w:jc w:val="center"/>
              <w:rPr>
                <w:rFonts w:ascii="cursive" w:hAnsi="cursive" w:eastAsia="cursive" w:cs="cursive"/>
                <w:sz w:val="24"/>
                <w:szCs w:val="24"/>
              </w:rPr>
            </w:pPr>
          </w:p>
          <w:p>
            <w:pPr>
              <w:pStyle w:val="4"/>
              <w:widowControl/>
              <w:wordWrap w:val="0"/>
              <w:spacing w:beforeAutospacing="1" w:afterAutospacing="1"/>
              <w:jc w:val="center"/>
              <w:rPr>
                <w:rFonts w:ascii="cursive" w:hAnsi="cursive" w:eastAsia="cursive" w:cs="cursive"/>
                <w:b/>
                <w:bCs/>
                <w:szCs w:val="24"/>
              </w:rPr>
            </w:pPr>
            <w:r>
              <w:rPr>
                <w:rFonts w:ascii="cursive" w:hAnsi="cursive" w:eastAsia="cursive" w:cs="cursive"/>
                <w:b/>
                <w:bCs/>
                <w:szCs w:val="24"/>
              </w:rPr>
              <w:t>（</w:t>
            </w:r>
            <w:r>
              <w:rPr>
                <w:rFonts w:hint="eastAsia" w:ascii="cursive" w:hAnsi="cursive" w:cs="cursive"/>
                <w:b/>
                <w:bCs/>
                <w:szCs w:val="24"/>
              </w:rPr>
              <w:t>三</w:t>
            </w:r>
            <w:r>
              <w:rPr>
                <w:rFonts w:ascii="cursive" w:hAnsi="cursive" w:eastAsia="cursive" w:cs="cursive"/>
                <w:b/>
                <w:bCs/>
                <w:szCs w:val="24"/>
              </w:rPr>
              <w:t>）一般不规范行为</w:t>
            </w:r>
          </w:p>
          <w:p>
            <w:pPr>
              <w:widowControl/>
              <w:wordWrap w:val="0"/>
              <w:spacing w:beforeAutospacing="1" w:afterAutospacing="1"/>
              <w:jc w:val="center"/>
              <w:rPr>
                <w:rFonts w:ascii="cursive" w:hAnsi="cursive" w:eastAsia="cursive" w:cs="cursive"/>
                <w:sz w:val="24"/>
                <w:szCs w:val="24"/>
              </w:rPr>
            </w:pPr>
          </w:p>
        </w:tc>
        <w:tc>
          <w:tcPr>
            <w:tcW w:w="5711" w:type="dxa"/>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pPr>
              <w:pStyle w:val="4"/>
              <w:widowControl/>
              <w:wordWrap w:val="0"/>
              <w:spacing w:beforeAutospacing="1"/>
              <w:rPr>
                <w:szCs w:val="24"/>
              </w:rPr>
            </w:pPr>
            <w:r>
              <w:rPr>
                <w:rFonts w:hint="eastAsia" w:ascii="宋体" w:eastAsia="宋体" w:cs="宋体"/>
                <w:szCs w:val="24"/>
              </w:rPr>
              <w:t>1.</w:t>
            </w:r>
            <w:r>
              <w:rPr>
                <w:rFonts w:ascii="cursive" w:hAnsi="cursive" w:eastAsia="cursive" w:cs="cursive"/>
                <w:szCs w:val="24"/>
              </w:rPr>
              <w:t>发生下列情形之一，虽未最终造成招标、投标、中标无效，但产生不良影响的：（</w:t>
            </w:r>
            <w:r>
              <w:rPr>
                <w:rFonts w:ascii="Times New Roman" w:hAnsi="Times New Roman" w:eastAsia="微软雅黑" w:cs="Times New Roman"/>
                <w:szCs w:val="24"/>
              </w:rPr>
              <w:t>1</w:t>
            </w:r>
            <w:r>
              <w:rPr>
                <w:rFonts w:ascii="cursive" w:hAnsi="cursive" w:eastAsia="cursive" w:cs="cursive"/>
                <w:szCs w:val="24"/>
              </w:rPr>
              <w:t>）没有按照招标文件示范文本编制招标公告、资格审查文件或招标文件，并且没有将与示范文本实质性内容不一致之处全部预先告知招标投标监管机构的；</w:t>
            </w:r>
            <w:r>
              <w:rPr>
                <w:rFonts w:hint="eastAsia" w:ascii="宋体" w:eastAsia="宋体" w:cs="宋体"/>
                <w:szCs w:val="24"/>
              </w:rPr>
              <w:t>（2）投标截止时间前，拒绝接收已经按招标文件规定密封合格的投标文件，经过纠正后方接收；（3）招标文件部分与合同条款部分前后约定不一致（4）因招标代理的工作失误导致招标工作需要重新组织复核的；（5）组织评标时</w:t>
            </w:r>
            <w:r>
              <w:rPr>
                <w:rFonts w:ascii="cursive" w:hAnsi="cursive" w:eastAsia="cursive" w:cs="cursive"/>
                <w:szCs w:val="24"/>
              </w:rPr>
              <w:t>，提供给评标委员会评标所使用的招标文件与发出的招标文件不一致的；（</w:t>
            </w:r>
            <w:r>
              <w:rPr>
                <w:rFonts w:hint="eastAsia" w:ascii="Times New Roman" w:hAnsi="Times New Roman" w:eastAsia="微软雅黑" w:cs="Times New Roman"/>
                <w:szCs w:val="24"/>
              </w:rPr>
              <w:t>6</w:t>
            </w:r>
            <w:r>
              <w:rPr>
                <w:rFonts w:ascii="cursive" w:hAnsi="cursive" w:eastAsia="cursive" w:cs="cursive"/>
                <w:szCs w:val="24"/>
              </w:rPr>
              <w:t>）在评标过程中暗示评委或干扰评委评标等不当行为，致使评标不能客观公正的；</w:t>
            </w:r>
          </w:p>
          <w:p>
            <w:pPr>
              <w:pStyle w:val="4"/>
              <w:widowControl/>
              <w:wordWrap w:val="0"/>
              <w:spacing w:beforeAutospacing="1"/>
              <w:rPr>
                <w:rFonts w:ascii="cursive" w:hAnsi="cursive" w:eastAsia="cursive" w:cs="cursive"/>
                <w:szCs w:val="24"/>
              </w:rPr>
            </w:pPr>
            <w:r>
              <w:rPr>
                <w:rFonts w:ascii="cursive" w:hAnsi="cursive" w:eastAsia="cursive" w:cs="cursive"/>
                <w:szCs w:val="24"/>
              </w:rPr>
              <w:t>（</w:t>
            </w:r>
            <w:r>
              <w:rPr>
                <w:rFonts w:hint="eastAsia" w:ascii="Times New Roman" w:hAnsi="Times New Roman" w:eastAsia="微软雅黑" w:cs="Times New Roman"/>
                <w:szCs w:val="24"/>
              </w:rPr>
              <w:t>7</w:t>
            </w:r>
            <w:r>
              <w:rPr>
                <w:rFonts w:ascii="cursive" w:hAnsi="cursive" w:eastAsia="cursive" w:cs="cursive"/>
                <w:szCs w:val="24"/>
              </w:rPr>
              <w:t>）在项目开标过程中，对投标人针对开标过程提出的异议不予解释澄清的；</w:t>
            </w:r>
          </w:p>
          <w:p>
            <w:pPr>
              <w:pStyle w:val="4"/>
              <w:widowControl/>
              <w:wordWrap w:val="0"/>
              <w:spacing w:beforeAutospacing="1"/>
              <w:rPr>
                <w:rFonts w:ascii="cursive" w:hAnsi="cursive" w:eastAsia="cursive" w:cs="cursive"/>
                <w:szCs w:val="24"/>
              </w:rPr>
            </w:pPr>
            <w:r>
              <w:rPr>
                <w:rFonts w:ascii="cursive" w:hAnsi="cursive" w:eastAsia="cursive" w:cs="cursive"/>
                <w:szCs w:val="24"/>
              </w:rPr>
              <w:t>（</w:t>
            </w:r>
            <w:r>
              <w:rPr>
                <w:rFonts w:hint="eastAsia" w:ascii="Times New Roman" w:hAnsi="Times New Roman" w:eastAsia="微软雅黑" w:cs="Times New Roman"/>
                <w:szCs w:val="24"/>
              </w:rPr>
              <w:t>8</w:t>
            </w:r>
            <w:r>
              <w:rPr>
                <w:rFonts w:ascii="cursive" w:hAnsi="cursive" w:eastAsia="cursive" w:cs="cursive"/>
                <w:szCs w:val="24"/>
              </w:rPr>
              <w:t>）在项目评标过程中，对评标专家针对招标文件内容提出的询问不予解释澄清的；</w:t>
            </w:r>
          </w:p>
          <w:p>
            <w:pPr>
              <w:pStyle w:val="4"/>
              <w:widowControl/>
              <w:wordWrap w:val="0"/>
              <w:spacing w:beforeAutospacing="1"/>
              <w:rPr>
                <w:rFonts w:ascii="cursive" w:hAnsi="cursive" w:eastAsia="宋体" w:cs="cursive"/>
                <w:szCs w:val="24"/>
              </w:rPr>
            </w:pPr>
            <w:r>
              <w:rPr>
                <w:rFonts w:ascii="cursive" w:hAnsi="cursive" w:eastAsia="cursive" w:cs="cursive"/>
                <w:szCs w:val="24"/>
              </w:rPr>
              <w:t>（</w:t>
            </w:r>
            <w:r>
              <w:rPr>
                <w:rFonts w:hint="eastAsia" w:ascii="Times New Roman" w:hAnsi="Times New Roman" w:eastAsia="微软雅黑" w:cs="Times New Roman"/>
                <w:szCs w:val="24"/>
              </w:rPr>
              <w:t>9</w:t>
            </w:r>
            <w:r>
              <w:rPr>
                <w:rFonts w:ascii="cursive" w:hAnsi="cursive" w:eastAsia="cursive" w:cs="cursive"/>
                <w:szCs w:val="24"/>
              </w:rPr>
              <w:t>）限制潜在投标人下载资格预审文件或者招标文件的。</w:t>
            </w:r>
          </w:p>
          <w:p>
            <w:pPr>
              <w:pStyle w:val="4"/>
              <w:widowControl/>
              <w:wordWrap w:val="0"/>
              <w:spacing w:beforeAutospacing="1"/>
              <w:rPr>
                <w:rFonts w:ascii="cursive" w:hAnsi="cursive" w:eastAsia="cursive" w:cs="cursive"/>
                <w:szCs w:val="24"/>
              </w:rPr>
            </w:pPr>
            <w:r>
              <w:rPr>
                <w:rFonts w:ascii="cursive" w:hAnsi="cursive" w:eastAsia="cursive" w:cs="cursive"/>
                <w:szCs w:val="24"/>
              </w:rPr>
              <w:t>（</w:t>
            </w:r>
            <w:r>
              <w:rPr>
                <w:rFonts w:hint="eastAsia" w:ascii="Times New Roman" w:hAnsi="Times New Roman" w:eastAsia="微软雅黑" w:cs="Times New Roman"/>
                <w:szCs w:val="24"/>
              </w:rPr>
              <w:t>10</w:t>
            </w:r>
            <w:r>
              <w:rPr>
                <w:rFonts w:ascii="cursive" w:hAnsi="cursive" w:eastAsia="cursive" w:cs="cursive"/>
                <w:szCs w:val="24"/>
              </w:rPr>
              <w:t>）不服从交易中心工作人员管理，威胁、恐吓监督人员及相关工作人员的，导致影响其招标工作正常开展，并经公共资源交易平台整合牵头部门书面确认的；</w:t>
            </w:r>
          </w:p>
          <w:p>
            <w:pPr>
              <w:pStyle w:val="4"/>
              <w:widowControl/>
              <w:wordWrap w:val="0"/>
              <w:spacing w:beforeAutospacing="1"/>
              <w:rPr>
                <w:szCs w:val="24"/>
              </w:rPr>
            </w:pPr>
            <w:r>
              <w:rPr>
                <w:rFonts w:ascii="cursive" w:hAnsi="cursive" w:eastAsia="cursive" w:cs="cursive"/>
                <w:szCs w:val="24"/>
              </w:rPr>
              <w:t>（</w:t>
            </w:r>
            <w:r>
              <w:rPr>
                <w:rFonts w:ascii="Times New Roman" w:hAnsi="Times New Roman" w:eastAsia="微软雅黑" w:cs="Times New Roman"/>
                <w:szCs w:val="24"/>
              </w:rPr>
              <w:t>1</w:t>
            </w:r>
            <w:r>
              <w:rPr>
                <w:rFonts w:hint="eastAsia" w:ascii="Times New Roman" w:hAnsi="Times New Roman" w:eastAsia="微软雅黑" w:cs="Times New Roman"/>
                <w:szCs w:val="24"/>
              </w:rPr>
              <w:t>1</w:t>
            </w:r>
            <w:r>
              <w:rPr>
                <w:rFonts w:ascii="cursive" w:hAnsi="cursive" w:eastAsia="cursive" w:cs="cursive"/>
                <w:szCs w:val="24"/>
              </w:rPr>
              <w:t>）其他经主管部门认定由于招标代理机构在开标评标过程违反招标投标程序、规定的行为，虽未最终造成招标、投标、中标无效，但产生不良影响的。</w:t>
            </w:r>
          </w:p>
        </w:tc>
        <w:tc>
          <w:tcPr>
            <w:tcW w:w="1020" w:type="dxa"/>
            <w:vMerge w:val="restart"/>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pPr>
              <w:pStyle w:val="4"/>
              <w:widowControl/>
              <w:wordWrap w:val="0"/>
              <w:spacing w:beforeAutospacing="1"/>
              <w:rPr>
                <w:rFonts w:ascii="宋体" w:eastAsia="宋体" w:cs="宋体"/>
                <w:szCs w:val="24"/>
              </w:rPr>
            </w:pPr>
          </w:p>
          <w:p>
            <w:pPr>
              <w:pStyle w:val="4"/>
              <w:widowControl/>
              <w:wordWrap w:val="0"/>
              <w:spacing w:beforeAutospacing="1"/>
              <w:rPr>
                <w:rFonts w:ascii="宋体" w:eastAsia="宋体" w:cs="宋体"/>
                <w:szCs w:val="24"/>
              </w:rPr>
            </w:pPr>
          </w:p>
          <w:p>
            <w:pPr>
              <w:pStyle w:val="4"/>
              <w:widowControl/>
              <w:wordWrap w:val="0"/>
              <w:spacing w:beforeAutospacing="1"/>
              <w:rPr>
                <w:rFonts w:ascii="宋体" w:eastAsia="宋体" w:cs="宋体"/>
                <w:color w:val="000000" w:themeColor="text1"/>
                <w:szCs w:val="24"/>
              </w:rPr>
            </w:pPr>
            <w:r>
              <w:rPr>
                <w:rFonts w:hint="eastAsia" w:ascii="宋体" w:eastAsia="宋体" w:cs="宋体"/>
                <w:szCs w:val="24"/>
              </w:rPr>
              <w:t>各级住房城乡建设主管部门、行业监管</w:t>
            </w:r>
            <w:r>
              <w:rPr>
                <w:rFonts w:hint="eastAsia" w:ascii="宋体" w:eastAsia="宋体" w:cs="宋体"/>
                <w:color w:val="000000" w:themeColor="text1"/>
                <w:szCs w:val="24"/>
              </w:rPr>
              <w:t>部门</w:t>
            </w:r>
            <w:r>
              <w:rPr>
                <w:rFonts w:hint="eastAsia" w:ascii="cursive" w:hAnsi="cursive" w:cs="cursive"/>
                <w:color w:val="000000" w:themeColor="text1"/>
                <w:szCs w:val="24"/>
              </w:rPr>
              <w:t>、市政管办、各级交易中心</w:t>
            </w:r>
          </w:p>
          <w:p>
            <w:pPr>
              <w:pStyle w:val="4"/>
              <w:widowControl/>
              <w:wordWrap w:val="0"/>
              <w:spacing w:beforeAutospacing="1" w:afterAutospacing="1"/>
              <w:ind w:right="68"/>
              <w:rPr>
                <w:rFonts w:ascii="cursive" w:hAnsi="cursive" w:cs="cursive"/>
                <w:szCs w:val="24"/>
              </w:rPr>
            </w:pPr>
          </w:p>
          <w:p>
            <w:pPr>
              <w:pStyle w:val="4"/>
              <w:widowControl/>
              <w:wordWrap w:val="0"/>
              <w:spacing w:beforeAutospacing="1" w:afterAutospacing="1"/>
              <w:ind w:right="68"/>
              <w:rPr>
                <w:rFonts w:ascii="cursive" w:hAnsi="cursive" w:cs="cursive"/>
                <w:szCs w:val="24"/>
              </w:rPr>
            </w:pPr>
          </w:p>
          <w:p>
            <w:pPr>
              <w:pStyle w:val="4"/>
              <w:widowControl/>
              <w:wordWrap w:val="0"/>
              <w:spacing w:beforeAutospacing="1" w:afterAutospacing="1"/>
              <w:ind w:right="68"/>
              <w:rPr>
                <w:rFonts w:ascii="cursive" w:hAnsi="cursive" w:cs="cursive"/>
                <w:szCs w:val="24"/>
              </w:rPr>
            </w:pPr>
          </w:p>
          <w:p>
            <w:pPr>
              <w:pStyle w:val="4"/>
              <w:widowControl/>
              <w:wordWrap w:val="0"/>
              <w:spacing w:beforeAutospacing="1" w:afterAutospacing="1"/>
              <w:ind w:right="68"/>
              <w:rPr>
                <w:rFonts w:ascii="cursive" w:hAnsi="cursive" w:cs="cursive"/>
                <w:szCs w:val="24"/>
              </w:rPr>
            </w:pPr>
          </w:p>
          <w:p>
            <w:pPr>
              <w:pStyle w:val="4"/>
              <w:widowControl/>
              <w:wordWrap w:val="0"/>
              <w:spacing w:beforeAutospacing="1" w:afterAutospacing="1"/>
              <w:ind w:right="68"/>
              <w:rPr>
                <w:rFonts w:ascii="cursive" w:hAnsi="cursive" w:cs="cursive"/>
                <w:szCs w:val="24"/>
              </w:rPr>
            </w:pPr>
          </w:p>
          <w:p>
            <w:pPr>
              <w:pStyle w:val="4"/>
              <w:widowControl/>
              <w:wordWrap w:val="0"/>
              <w:spacing w:beforeAutospacing="1" w:afterAutospacing="1"/>
              <w:ind w:right="68"/>
              <w:rPr>
                <w:rFonts w:ascii="cursive" w:hAnsi="cursive" w:cs="cursive"/>
                <w:color w:val="000000" w:themeColor="text1"/>
                <w:szCs w:val="24"/>
              </w:rPr>
            </w:pPr>
            <w:r>
              <w:rPr>
                <w:rFonts w:hint="eastAsia" w:ascii="cursive" w:hAnsi="cursive" w:cs="cursive"/>
                <w:szCs w:val="24"/>
              </w:rPr>
              <w:t>各级</w:t>
            </w:r>
            <w:r>
              <w:rPr>
                <w:rFonts w:ascii="cursive" w:hAnsi="cursive" w:eastAsia="cursive" w:cs="cursive"/>
                <w:szCs w:val="24"/>
              </w:rPr>
              <w:t>住房城乡建设主管部门</w:t>
            </w:r>
            <w:r>
              <w:rPr>
                <w:rFonts w:hint="eastAsia" w:ascii="cursive" w:hAnsi="cursive" w:cs="cursive"/>
                <w:szCs w:val="24"/>
              </w:rPr>
              <w:t>、行业监</w:t>
            </w:r>
            <w:r>
              <w:rPr>
                <w:rFonts w:hint="eastAsia" w:ascii="cursive" w:hAnsi="cursive" w:cs="cursive"/>
                <w:color w:val="000000" w:themeColor="text1"/>
                <w:szCs w:val="24"/>
              </w:rPr>
              <w:t>管部门或市政管办、各级交易中心</w:t>
            </w:r>
          </w:p>
          <w:p>
            <w:pPr>
              <w:widowControl/>
              <w:wordWrap w:val="0"/>
              <w:spacing w:beforeAutospacing="1" w:afterAutospacing="1"/>
              <w:ind w:right="68"/>
              <w:rPr>
                <w:rFonts w:ascii="cursive" w:hAnsi="cursive" w:cs="cursive"/>
                <w:sz w:val="24"/>
                <w:szCs w:val="24"/>
              </w:rPr>
            </w:pPr>
          </w:p>
        </w:tc>
        <w:tc>
          <w:tcPr>
            <w:tcW w:w="821" w:type="dxa"/>
            <w:vMerge w:val="restart"/>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pPr>
              <w:pStyle w:val="4"/>
              <w:widowControl/>
              <w:wordWrap w:val="0"/>
              <w:spacing w:beforeAutospacing="1"/>
              <w:rPr>
                <w:rFonts w:ascii="宋体" w:eastAsia="宋体" w:cs="宋体"/>
                <w:szCs w:val="24"/>
              </w:rPr>
            </w:pPr>
          </w:p>
          <w:p>
            <w:pPr>
              <w:pStyle w:val="4"/>
              <w:widowControl/>
              <w:wordWrap w:val="0"/>
              <w:spacing w:beforeAutospacing="1"/>
              <w:rPr>
                <w:rFonts w:ascii="宋体" w:eastAsia="宋体" w:cs="宋体"/>
                <w:szCs w:val="24"/>
              </w:rPr>
            </w:pPr>
          </w:p>
          <w:p>
            <w:pPr>
              <w:pStyle w:val="4"/>
              <w:widowControl/>
              <w:wordWrap w:val="0"/>
              <w:spacing w:beforeAutospacing="1"/>
              <w:rPr>
                <w:rFonts w:ascii="宋体" w:eastAsia="宋体" w:cs="宋体"/>
                <w:szCs w:val="24"/>
              </w:rPr>
            </w:pPr>
          </w:p>
          <w:p>
            <w:pPr>
              <w:pStyle w:val="4"/>
              <w:widowControl/>
              <w:wordWrap w:val="0"/>
              <w:spacing w:beforeAutospacing="1"/>
              <w:rPr>
                <w:rFonts w:ascii="宋体" w:eastAsia="宋体" w:cs="宋体"/>
                <w:szCs w:val="24"/>
              </w:rPr>
            </w:pPr>
          </w:p>
          <w:p>
            <w:pPr>
              <w:pStyle w:val="4"/>
              <w:widowControl/>
              <w:wordWrap w:val="0"/>
              <w:spacing w:beforeAutospacing="1"/>
              <w:rPr>
                <w:rFonts w:ascii="宋体" w:eastAsia="宋体" w:cs="宋体"/>
                <w:szCs w:val="24"/>
              </w:rPr>
            </w:pPr>
          </w:p>
          <w:p>
            <w:pPr>
              <w:pStyle w:val="4"/>
              <w:widowControl/>
              <w:wordWrap w:val="0"/>
              <w:spacing w:beforeAutospacing="1"/>
              <w:rPr>
                <w:rFonts w:ascii="宋体" w:eastAsia="宋体" w:cs="宋体"/>
                <w:szCs w:val="24"/>
              </w:rPr>
            </w:pPr>
            <w:r>
              <w:rPr>
                <w:rFonts w:hint="eastAsia" w:ascii="宋体" w:eastAsia="宋体" w:cs="宋体"/>
                <w:szCs w:val="24"/>
              </w:rPr>
              <w:t>每发生1次扣3分</w:t>
            </w:r>
          </w:p>
          <w:p>
            <w:pPr>
              <w:pStyle w:val="4"/>
              <w:widowControl/>
              <w:wordWrap w:val="0"/>
              <w:spacing w:beforeAutospacing="1"/>
              <w:rPr>
                <w:rFonts w:ascii="宋体" w:eastAsia="宋体" w:cs="宋体"/>
                <w:szCs w:val="24"/>
              </w:rPr>
            </w:pPr>
          </w:p>
          <w:p>
            <w:pPr>
              <w:pStyle w:val="4"/>
              <w:widowControl/>
              <w:wordWrap w:val="0"/>
              <w:spacing w:beforeAutospacing="1"/>
              <w:rPr>
                <w:rFonts w:ascii="宋体" w:eastAsia="宋体" w:cs="宋体"/>
                <w:szCs w:val="24"/>
              </w:rPr>
            </w:pPr>
          </w:p>
          <w:p>
            <w:pPr>
              <w:pStyle w:val="4"/>
              <w:widowControl/>
              <w:wordWrap w:val="0"/>
              <w:spacing w:beforeAutospacing="1"/>
              <w:rPr>
                <w:rFonts w:ascii="宋体" w:eastAsia="宋体" w:cs="宋体"/>
                <w:szCs w:val="24"/>
              </w:rPr>
            </w:pPr>
          </w:p>
          <w:p>
            <w:pPr>
              <w:pStyle w:val="4"/>
              <w:widowControl/>
              <w:wordWrap w:val="0"/>
              <w:spacing w:beforeAutospacing="1"/>
              <w:rPr>
                <w:rFonts w:ascii="宋体" w:eastAsia="宋体" w:cs="宋体"/>
                <w:szCs w:val="24"/>
              </w:rPr>
            </w:pPr>
          </w:p>
          <w:p>
            <w:pPr>
              <w:pStyle w:val="4"/>
              <w:widowControl/>
              <w:wordWrap w:val="0"/>
              <w:spacing w:beforeAutospacing="1"/>
              <w:rPr>
                <w:rFonts w:ascii="宋体" w:eastAsia="宋体" w:cs="宋体"/>
                <w:szCs w:val="24"/>
              </w:rPr>
            </w:pPr>
          </w:p>
          <w:p>
            <w:pPr>
              <w:pStyle w:val="4"/>
              <w:widowControl/>
              <w:wordWrap w:val="0"/>
              <w:spacing w:beforeAutospacing="1"/>
              <w:rPr>
                <w:rFonts w:ascii="宋体" w:eastAsia="宋体" w:cs="宋体"/>
                <w:szCs w:val="24"/>
              </w:rPr>
            </w:pPr>
          </w:p>
          <w:p>
            <w:pPr>
              <w:pStyle w:val="4"/>
              <w:widowControl/>
              <w:wordWrap w:val="0"/>
              <w:spacing w:beforeAutospacing="1"/>
              <w:rPr>
                <w:rFonts w:ascii="宋体" w:eastAsia="宋体" w:cs="宋体"/>
                <w:szCs w:val="24"/>
              </w:rPr>
            </w:pPr>
          </w:p>
          <w:p>
            <w:pPr>
              <w:pStyle w:val="4"/>
              <w:widowControl/>
              <w:wordWrap w:val="0"/>
              <w:spacing w:beforeAutospacing="1"/>
              <w:rPr>
                <w:rFonts w:ascii="宋体" w:eastAsia="宋体" w:cs="宋体"/>
                <w:szCs w:val="24"/>
              </w:rPr>
            </w:pPr>
          </w:p>
          <w:p>
            <w:pPr>
              <w:pStyle w:val="4"/>
              <w:widowControl/>
              <w:wordWrap w:val="0"/>
              <w:spacing w:beforeAutospacing="1"/>
              <w:rPr>
                <w:rFonts w:ascii="宋体" w:eastAsia="宋体" w:cs="宋体"/>
                <w:szCs w:val="24"/>
              </w:rPr>
            </w:pPr>
          </w:p>
          <w:p>
            <w:pPr>
              <w:pStyle w:val="4"/>
              <w:widowControl/>
              <w:wordWrap w:val="0"/>
              <w:spacing w:beforeAutospacing="1"/>
              <w:rPr>
                <w:rFonts w:ascii="宋体" w:eastAsia="宋体" w:cs="宋体"/>
                <w:szCs w:val="24"/>
              </w:rPr>
            </w:pPr>
          </w:p>
          <w:p>
            <w:pPr>
              <w:pStyle w:val="4"/>
              <w:widowControl/>
              <w:wordWrap w:val="0"/>
              <w:spacing w:beforeAutospacing="1"/>
              <w:rPr>
                <w:rFonts w:ascii="宋体" w:eastAsia="宋体" w:cs="宋体"/>
                <w:szCs w:val="24"/>
              </w:rPr>
            </w:pPr>
            <w:r>
              <w:rPr>
                <w:rFonts w:hint="eastAsia" w:ascii="宋体" w:eastAsia="宋体" w:cs="宋体"/>
                <w:szCs w:val="24"/>
              </w:rPr>
              <w:t>每发生1次扣3分</w:t>
            </w:r>
          </w:p>
        </w:tc>
      </w:tr>
      <w:tr>
        <w:tblPrEx>
          <w:tblBorders>
            <w:top w:val="single" w:color="CCCCCC" w:sz="6" w:space="0"/>
            <w:left w:val="single" w:color="CCCCCC" w:sz="6" w:space="0"/>
            <w:bottom w:val="single" w:color="CCCCCC" w:sz="6" w:space="0"/>
            <w:right w:val="single" w:color="CCCCCC" w:sz="6" w:space="0"/>
            <w:insideH w:val="outset" w:color="auto" w:sz="6" w:space="0"/>
            <w:insideV w:val="outset" w:color="auto" w:sz="6" w:space="0"/>
          </w:tblBorders>
          <w:tblCellMar>
            <w:top w:w="105" w:type="dxa"/>
            <w:left w:w="105" w:type="dxa"/>
            <w:bottom w:w="105" w:type="dxa"/>
            <w:right w:w="105" w:type="dxa"/>
          </w:tblCellMar>
        </w:tblPrEx>
        <w:trPr>
          <w:trHeight w:val="684" w:hRule="atLeast"/>
          <w:tblCellSpacing w:w="0" w:type="dxa"/>
          <w:jc w:val="center"/>
        </w:trPr>
        <w:tc>
          <w:tcPr>
            <w:tcW w:w="1076" w:type="dxa"/>
            <w:vMerge w:val="continue"/>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tc>
        <w:tc>
          <w:tcPr>
            <w:tcW w:w="5711" w:type="dxa"/>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pPr>
              <w:pStyle w:val="4"/>
              <w:widowControl/>
              <w:wordWrap w:val="0"/>
              <w:spacing w:beforeAutospacing="1" w:afterAutospacing="1"/>
              <w:rPr>
                <w:szCs w:val="24"/>
              </w:rPr>
            </w:pPr>
            <w:r>
              <w:rPr>
                <w:rFonts w:ascii="Times New Roman" w:hAnsi="Times New Roman" w:eastAsia="微软雅黑" w:cs="Times New Roman"/>
                <w:szCs w:val="24"/>
              </w:rPr>
              <w:t>2.</w:t>
            </w:r>
            <w:r>
              <w:rPr>
                <w:rFonts w:ascii="cursive" w:hAnsi="cursive" w:eastAsia="cursive" w:cs="cursive"/>
                <w:szCs w:val="24"/>
              </w:rPr>
              <w:t>招标代理机构无正当理由不及时公示中标候选人和中标结果，不及时发放中标通知书的。</w:t>
            </w:r>
          </w:p>
        </w:tc>
        <w:tc>
          <w:tcPr>
            <w:tcW w:w="1020" w:type="dxa"/>
            <w:vMerge w:val="continue"/>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tc>
        <w:tc>
          <w:tcPr>
            <w:tcW w:w="821" w:type="dxa"/>
            <w:vMerge w:val="continue"/>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tc>
      </w:tr>
      <w:tr>
        <w:tblPrEx>
          <w:tblBorders>
            <w:top w:val="single" w:color="CCCCCC" w:sz="6" w:space="0"/>
            <w:left w:val="single" w:color="CCCCCC" w:sz="6" w:space="0"/>
            <w:bottom w:val="single" w:color="CCCCCC" w:sz="6" w:space="0"/>
            <w:right w:val="single" w:color="CCCCCC" w:sz="6" w:space="0"/>
            <w:insideH w:val="outset" w:color="auto" w:sz="6" w:space="0"/>
            <w:insideV w:val="outset" w:color="auto" w:sz="6" w:space="0"/>
          </w:tblBorders>
          <w:tblCellMar>
            <w:top w:w="105" w:type="dxa"/>
            <w:left w:w="105" w:type="dxa"/>
            <w:bottom w:w="105" w:type="dxa"/>
            <w:right w:w="105" w:type="dxa"/>
          </w:tblCellMar>
        </w:tblPrEx>
        <w:trPr>
          <w:trHeight w:val="1009" w:hRule="atLeast"/>
          <w:tblCellSpacing w:w="0" w:type="dxa"/>
          <w:jc w:val="center"/>
        </w:trPr>
        <w:tc>
          <w:tcPr>
            <w:tcW w:w="1076" w:type="dxa"/>
            <w:vMerge w:val="continue"/>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tc>
        <w:tc>
          <w:tcPr>
            <w:tcW w:w="5711" w:type="dxa"/>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pPr>
              <w:pStyle w:val="4"/>
              <w:widowControl/>
              <w:wordWrap w:val="0"/>
              <w:spacing w:beforeAutospacing="1" w:afterAutospacing="1"/>
              <w:rPr>
                <w:rFonts w:ascii="Times New Roman" w:hAnsi="Times New Roman" w:eastAsia="微软雅黑" w:cs="Times New Roman"/>
                <w:szCs w:val="24"/>
              </w:rPr>
            </w:pPr>
            <w:r>
              <w:rPr>
                <w:rFonts w:hint="eastAsia" w:ascii="Times New Roman" w:hAnsi="Times New Roman" w:eastAsia="微软雅黑" w:cs="Times New Roman"/>
                <w:szCs w:val="24"/>
              </w:rPr>
              <w:t>3</w:t>
            </w:r>
            <w:r>
              <w:rPr>
                <w:rFonts w:ascii="Times New Roman" w:hAnsi="Times New Roman" w:eastAsia="微软雅黑" w:cs="Times New Roman"/>
                <w:szCs w:val="24"/>
              </w:rPr>
              <w:t>.</w:t>
            </w:r>
            <w:r>
              <w:rPr>
                <w:rFonts w:ascii="cursive" w:hAnsi="cursive" w:eastAsia="cursive" w:cs="cursive"/>
                <w:szCs w:val="24"/>
              </w:rPr>
              <w:t>招标代理机构对投标人、潜在投标人或者其他利害关系人在法定时间内递交的符合要求的书面异议材料予以拒收的。</w:t>
            </w:r>
          </w:p>
        </w:tc>
        <w:tc>
          <w:tcPr>
            <w:tcW w:w="1020" w:type="dxa"/>
            <w:vMerge w:val="continue"/>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tc>
        <w:tc>
          <w:tcPr>
            <w:tcW w:w="821" w:type="dxa"/>
            <w:vMerge w:val="continue"/>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tc>
      </w:tr>
      <w:tr>
        <w:tblPrEx>
          <w:tblBorders>
            <w:top w:val="single" w:color="CCCCCC" w:sz="6" w:space="0"/>
            <w:left w:val="single" w:color="CCCCCC" w:sz="6" w:space="0"/>
            <w:bottom w:val="single" w:color="CCCCCC" w:sz="6" w:space="0"/>
            <w:right w:val="single" w:color="CCCCCC" w:sz="6" w:space="0"/>
            <w:insideH w:val="outset" w:color="auto" w:sz="6" w:space="0"/>
            <w:insideV w:val="outset" w:color="auto" w:sz="6" w:space="0"/>
          </w:tblBorders>
          <w:tblCellMar>
            <w:top w:w="105" w:type="dxa"/>
            <w:left w:w="105" w:type="dxa"/>
            <w:bottom w:w="105" w:type="dxa"/>
            <w:right w:w="105" w:type="dxa"/>
          </w:tblCellMar>
        </w:tblPrEx>
        <w:trPr>
          <w:trHeight w:val="791" w:hRule="atLeast"/>
          <w:tblCellSpacing w:w="0" w:type="dxa"/>
          <w:jc w:val="center"/>
        </w:trPr>
        <w:tc>
          <w:tcPr>
            <w:tcW w:w="1076" w:type="dxa"/>
            <w:vMerge w:val="continue"/>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tc>
        <w:tc>
          <w:tcPr>
            <w:tcW w:w="5711" w:type="dxa"/>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pPr>
              <w:widowControl/>
              <w:wordWrap w:val="0"/>
              <w:spacing w:beforeAutospacing="1" w:afterAutospacing="1"/>
              <w:rPr>
                <w:rFonts w:ascii="Times New Roman" w:hAnsi="Times New Roman" w:eastAsia="微软雅黑" w:cs="Times New Roman"/>
                <w:sz w:val="24"/>
                <w:szCs w:val="24"/>
              </w:rPr>
            </w:pPr>
            <w:r>
              <w:rPr>
                <w:rFonts w:hint="eastAsia" w:ascii="Times New Roman" w:hAnsi="Times New Roman" w:eastAsia="微软雅黑" w:cs="Times New Roman"/>
                <w:sz w:val="24"/>
                <w:szCs w:val="24"/>
              </w:rPr>
              <w:t>4</w:t>
            </w:r>
            <w:r>
              <w:rPr>
                <w:rFonts w:ascii="Times New Roman" w:hAnsi="Times New Roman" w:eastAsia="微软雅黑" w:cs="Times New Roman"/>
                <w:sz w:val="24"/>
                <w:szCs w:val="24"/>
              </w:rPr>
              <w:t>.</w:t>
            </w:r>
            <w:r>
              <w:rPr>
                <w:rFonts w:ascii="cursive" w:hAnsi="cursive" w:eastAsia="cursive" w:cs="cursive"/>
                <w:sz w:val="24"/>
                <w:szCs w:val="24"/>
              </w:rPr>
              <w:t>当年度在承接建设项目招标代理业务中有不规范行为，被下发整改通知书责令整改的。</w:t>
            </w:r>
          </w:p>
        </w:tc>
        <w:tc>
          <w:tcPr>
            <w:tcW w:w="1020" w:type="dxa"/>
            <w:vMerge w:val="continue"/>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tc>
        <w:tc>
          <w:tcPr>
            <w:tcW w:w="821" w:type="dxa"/>
            <w:vMerge w:val="continue"/>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tc>
      </w:tr>
      <w:tr>
        <w:tblPrEx>
          <w:tblBorders>
            <w:top w:val="single" w:color="CCCCCC" w:sz="6" w:space="0"/>
            <w:left w:val="single" w:color="CCCCCC" w:sz="6" w:space="0"/>
            <w:bottom w:val="single" w:color="CCCCCC" w:sz="6" w:space="0"/>
            <w:right w:val="single" w:color="CCCCCC" w:sz="6" w:space="0"/>
            <w:insideH w:val="outset" w:color="auto" w:sz="6" w:space="0"/>
            <w:insideV w:val="outset" w:color="auto" w:sz="6" w:space="0"/>
          </w:tblBorders>
          <w:tblCellMar>
            <w:top w:w="105" w:type="dxa"/>
            <w:left w:w="105" w:type="dxa"/>
            <w:bottom w:w="105" w:type="dxa"/>
            <w:right w:w="105" w:type="dxa"/>
          </w:tblCellMar>
        </w:tblPrEx>
        <w:trPr>
          <w:trHeight w:val="1026" w:hRule="atLeast"/>
          <w:tblCellSpacing w:w="0" w:type="dxa"/>
          <w:jc w:val="center"/>
        </w:trPr>
        <w:tc>
          <w:tcPr>
            <w:tcW w:w="1076" w:type="dxa"/>
            <w:vMerge w:val="continue"/>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tc>
        <w:tc>
          <w:tcPr>
            <w:tcW w:w="5711" w:type="dxa"/>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pPr>
              <w:pStyle w:val="4"/>
              <w:widowControl/>
              <w:wordWrap w:val="0"/>
              <w:spacing w:beforeAutospacing="1" w:afterAutospacing="1"/>
              <w:rPr>
                <w:rFonts w:ascii="宋体" w:cs="宋体"/>
                <w:szCs w:val="24"/>
              </w:rPr>
            </w:pPr>
            <w:r>
              <w:rPr>
                <w:rFonts w:hint="eastAsia" w:ascii="宋体" w:cs="宋体"/>
                <w:szCs w:val="24"/>
              </w:rPr>
              <w:t>5</w:t>
            </w:r>
            <w:r>
              <w:rPr>
                <w:rFonts w:hint="eastAsia" w:ascii="宋体" w:eastAsia="宋体" w:cs="宋体"/>
                <w:szCs w:val="24"/>
              </w:rPr>
              <w:t>.</w:t>
            </w:r>
            <w:r>
              <w:rPr>
                <w:rFonts w:hint="eastAsia" w:ascii="宋体" w:cs="宋体"/>
                <w:szCs w:val="24"/>
              </w:rPr>
              <w:t>未</w:t>
            </w:r>
            <w:r>
              <w:rPr>
                <w:rFonts w:hint="eastAsia" w:ascii="宋体" w:eastAsia="宋体" w:cs="宋体"/>
                <w:szCs w:val="24"/>
              </w:rPr>
              <w:t>按《中华人民共和国招标投标法实施条例》第三十二条要求编制招标文件</w:t>
            </w:r>
            <w:r>
              <w:rPr>
                <w:rFonts w:hint="eastAsia" w:ascii="宋体" w:cs="宋体"/>
                <w:szCs w:val="24"/>
              </w:rPr>
              <w:t>，</w:t>
            </w:r>
            <w:r>
              <w:rPr>
                <w:rFonts w:hint="eastAsia" w:ascii="宋体" w:eastAsia="宋体" w:cs="宋体"/>
                <w:szCs w:val="24"/>
              </w:rPr>
              <w:t>采取补救措施予以纠正</w:t>
            </w:r>
            <w:r>
              <w:rPr>
                <w:rFonts w:hint="eastAsia" w:ascii="宋体" w:cs="宋体"/>
                <w:szCs w:val="24"/>
              </w:rPr>
              <w:t>的</w:t>
            </w:r>
            <w:r>
              <w:rPr>
                <w:rFonts w:hint="eastAsia" w:ascii="宋体" w:eastAsia="宋体" w:cs="宋体"/>
                <w:szCs w:val="24"/>
              </w:rPr>
              <w:t>。</w:t>
            </w:r>
          </w:p>
        </w:tc>
        <w:tc>
          <w:tcPr>
            <w:tcW w:w="1020" w:type="dxa"/>
            <w:vMerge w:val="continue"/>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tc>
        <w:tc>
          <w:tcPr>
            <w:tcW w:w="821" w:type="dxa"/>
            <w:vMerge w:val="continue"/>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tc>
      </w:tr>
      <w:tr>
        <w:tblPrEx>
          <w:tblBorders>
            <w:top w:val="single" w:color="CCCCCC" w:sz="6" w:space="0"/>
            <w:left w:val="single" w:color="CCCCCC" w:sz="6" w:space="0"/>
            <w:bottom w:val="single" w:color="CCCCCC" w:sz="6" w:space="0"/>
            <w:right w:val="single" w:color="CCCCCC" w:sz="6" w:space="0"/>
            <w:insideH w:val="outset" w:color="auto" w:sz="6" w:space="0"/>
            <w:insideV w:val="outset" w:color="auto" w:sz="6" w:space="0"/>
          </w:tblBorders>
          <w:tblCellMar>
            <w:top w:w="105" w:type="dxa"/>
            <w:left w:w="105" w:type="dxa"/>
            <w:bottom w:w="105" w:type="dxa"/>
            <w:right w:w="105" w:type="dxa"/>
          </w:tblCellMar>
        </w:tblPrEx>
        <w:trPr>
          <w:trHeight w:val="1163" w:hRule="atLeast"/>
          <w:tblCellSpacing w:w="0" w:type="dxa"/>
          <w:jc w:val="center"/>
        </w:trPr>
        <w:tc>
          <w:tcPr>
            <w:tcW w:w="1076" w:type="dxa"/>
            <w:vMerge w:val="continue"/>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tc>
        <w:tc>
          <w:tcPr>
            <w:tcW w:w="5711" w:type="dxa"/>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pPr>
              <w:pStyle w:val="4"/>
              <w:widowControl/>
              <w:wordWrap w:val="0"/>
              <w:spacing w:beforeAutospacing="1" w:afterAutospacing="1"/>
              <w:rPr>
                <w:rFonts w:ascii="Times New Roman" w:hAnsi="Times New Roman" w:eastAsia="微软雅黑" w:cs="Times New Roman"/>
                <w:szCs w:val="24"/>
              </w:rPr>
            </w:pPr>
            <w:r>
              <w:rPr>
                <w:rFonts w:hint="eastAsia" w:ascii="宋体" w:cs="宋体"/>
                <w:szCs w:val="24"/>
              </w:rPr>
              <w:t>6</w:t>
            </w:r>
            <w:r>
              <w:rPr>
                <w:rFonts w:hint="eastAsia" w:ascii="宋体" w:eastAsia="宋体" w:cs="宋体"/>
                <w:szCs w:val="24"/>
              </w:rPr>
              <w:t>．递交投标文件截止时间后，开标前，已经封存的投标文件出现因招标代理工作人员人为原因破损。（以交易中心视频为依据）</w:t>
            </w:r>
          </w:p>
        </w:tc>
        <w:tc>
          <w:tcPr>
            <w:tcW w:w="1020" w:type="dxa"/>
            <w:vMerge w:val="continue"/>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tc>
        <w:tc>
          <w:tcPr>
            <w:tcW w:w="821" w:type="dxa"/>
            <w:vMerge w:val="continue"/>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tc>
      </w:tr>
      <w:tr>
        <w:tblPrEx>
          <w:tblBorders>
            <w:top w:val="single" w:color="CCCCCC" w:sz="6" w:space="0"/>
            <w:left w:val="single" w:color="CCCCCC" w:sz="6" w:space="0"/>
            <w:bottom w:val="single" w:color="CCCCCC" w:sz="6" w:space="0"/>
            <w:right w:val="single" w:color="CCCCCC" w:sz="6" w:space="0"/>
            <w:insideH w:val="outset" w:color="auto" w:sz="6" w:space="0"/>
            <w:insideV w:val="outset" w:color="auto" w:sz="6" w:space="0"/>
          </w:tblBorders>
          <w:tblCellMar>
            <w:top w:w="105" w:type="dxa"/>
            <w:left w:w="105" w:type="dxa"/>
            <w:bottom w:w="105" w:type="dxa"/>
            <w:right w:w="105" w:type="dxa"/>
          </w:tblCellMar>
        </w:tblPrEx>
        <w:trPr>
          <w:trHeight w:val="1278" w:hRule="atLeast"/>
          <w:tblCellSpacing w:w="0" w:type="dxa"/>
          <w:jc w:val="center"/>
        </w:trPr>
        <w:tc>
          <w:tcPr>
            <w:tcW w:w="1076" w:type="dxa"/>
            <w:vMerge w:val="restart"/>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pPr>
              <w:pStyle w:val="4"/>
              <w:widowControl/>
              <w:wordWrap w:val="0"/>
              <w:spacing w:beforeAutospacing="1" w:afterAutospacing="1"/>
              <w:rPr>
                <w:rFonts w:ascii="cursive" w:hAnsi="cursive" w:eastAsia="cursive" w:cs="cursive"/>
                <w:color w:val="000000" w:themeColor="text1"/>
                <w:szCs w:val="24"/>
              </w:rPr>
            </w:pPr>
          </w:p>
          <w:p>
            <w:pPr>
              <w:pStyle w:val="4"/>
              <w:widowControl/>
              <w:wordWrap w:val="0"/>
              <w:spacing w:beforeAutospacing="1" w:afterAutospacing="1"/>
              <w:jc w:val="center"/>
              <w:rPr>
                <w:color w:val="000000" w:themeColor="text1"/>
                <w:szCs w:val="24"/>
              </w:rPr>
            </w:pPr>
            <w:r>
              <w:rPr>
                <w:rFonts w:ascii="cursive" w:hAnsi="cursive" w:eastAsia="cursive" w:cs="cursive"/>
                <w:b/>
                <w:bCs/>
                <w:color w:val="000000" w:themeColor="text1"/>
                <w:szCs w:val="24"/>
              </w:rPr>
              <w:t>（四）轻微不规范行为</w:t>
            </w:r>
          </w:p>
        </w:tc>
        <w:tc>
          <w:tcPr>
            <w:tcW w:w="5711" w:type="dxa"/>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pPr>
              <w:pStyle w:val="4"/>
              <w:widowControl/>
              <w:wordWrap w:val="0"/>
              <w:spacing w:beforeAutospacing="1" w:afterAutospacing="1"/>
              <w:rPr>
                <w:color w:val="000000" w:themeColor="text1"/>
                <w:szCs w:val="24"/>
              </w:rPr>
            </w:pPr>
            <w:r>
              <w:rPr>
                <w:rFonts w:ascii="Times New Roman" w:hAnsi="Times New Roman" w:eastAsia="微软雅黑" w:cs="Times New Roman"/>
                <w:color w:val="000000" w:themeColor="text1"/>
                <w:szCs w:val="24"/>
              </w:rPr>
              <w:t>1</w:t>
            </w:r>
            <w:r>
              <w:rPr>
                <w:rFonts w:ascii="cursive" w:hAnsi="cursive" w:eastAsia="cursive" w:cs="cursive"/>
                <w:color w:val="000000" w:themeColor="text1"/>
                <w:szCs w:val="24"/>
              </w:rPr>
              <w:t>．招标文件（含招标公告、资格预审文件、由该招标代理机构编制的工程量清单）编制质量低劣（如必须填写内容不全、文件前后不一致、评标办法总分不为</w:t>
            </w:r>
            <w:r>
              <w:rPr>
                <w:rFonts w:ascii="Times New Roman" w:hAnsi="Times New Roman" w:eastAsia="微软雅黑" w:cs="Times New Roman"/>
                <w:color w:val="000000" w:themeColor="text1"/>
                <w:szCs w:val="24"/>
              </w:rPr>
              <w:t>100</w:t>
            </w:r>
            <w:r>
              <w:rPr>
                <w:rFonts w:ascii="cursive" w:hAnsi="cursive" w:eastAsia="cursive" w:cs="cursive"/>
                <w:color w:val="000000" w:themeColor="text1"/>
                <w:szCs w:val="24"/>
              </w:rPr>
              <w:t>分等），被主管部门审查发现的。</w:t>
            </w:r>
          </w:p>
        </w:tc>
        <w:tc>
          <w:tcPr>
            <w:tcW w:w="1020" w:type="dxa"/>
            <w:vMerge w:val="restart"/>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pPr>
              <w:pStyle w:val="4"/>
              <w:widowControl/>
              <w:wordWrap w:val="0"/>
              <w:spacing w:beforeAutospacing="1" w:afterAutospacing="1"/>
              <w:ind w:right="68"/>
              <w:rPr>
                <w:rFonts w:ascii="cursive" w:hAnsi="cursive" w:cs="cursive"/>
                <w:color w:val="000000" w:themeColor="text1"/>
                <w:szCs w:val="24"/>
              </w:rPr>
            </w:pPr>
          </w:p>
          <w:p>
            <w:pPr>
              <w:pStyle w:val="4"/>
              <w:widowControl/>
              <w:wordWrap w:val="0"/>
              <w:spacing w:beforeAutospacing="1" w:afterAutospacing="1"/>
              <w:ind w:right="68"/>
              <w:rPr>
                <w:rFonts w:ascii="cursive" w:hAnsi="cursive" w:cs="cursive"/>
                <w:color w:val="000000" w:themeColor="text1"/>
                <w:szCs w:val="24"/>
              </w:rPr>
            </w:pPr>
            <w:r>
              <w:rPr>
                <w:rFonts w:hint="eastAsia" w:ascii="cursive" w:hAnsi="cursive" w:cs="cursive"/>
                <w:color w:val="000000" w:themeColor="text1"/>
                <w:szCs w:val="24"/>
              </w:rPr>
              <w:t>各级</w:t>
            </w:r>
            <w:r>
              <w:rPr>
                <w:rFonts w:ascii="cursive" w:hAnsi="cursive" w:eastAsia="cursive" w:cs="cursive"/>
                <w:color w:val="000000" w:themeColor="text1"/>
                <w:szCs w:val="24"/>
              </w:rPr>
              <w:t>住房城乡建设主管部门</w:t>
            </w:r>
            <w:r>
              <w:rPr>
                <w:rFonts w:hint="eastAsia" w:ascii="cursive" w:hAnsi="cursive" w:cs="cursive"/>
                <w:color w:val="000000" w:themeColor="text1"/>
                <w:szCs w:val="24"/>
              </w:rPr>
              <w:t>、行业监管部门或、市政管办、各级交易中心</w:t>
            </w:r>
          </w:p>
          <w:p>
            <w:pPr>
              <w:pStyle w:val="4"/>
              <w:widowControl/>
              <w:wordWrap w:val="0"/>
              <w:spacing w:beforeAutospacing="1" w:afterAutospacing="1"/>
              <w:ind w:left="-28" w:right="11"/>
              <w:rPr>
                <w:rFonts w:eastAsia="宋体"/>
                <w:color w:val="000000" w:themeColor="text1"/>
                <w:szCs w:val="24"/>
              </w:rPr>
            </w:pPr>
          </w:p>
        </w:tc>
        <w:tc>
          <w:tcPr>
            <w:tcW w:w="821" w:type="dxa"/>
            <w:vMerge w:val="restart"/>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pPr>
              <w:pStyle w:val="4"/>
              <w:widowControl/>
              <w:wordWrap w:val="0"/>
              <w:spacing w:beforeAutospacing="1" w:afterAutospacing="1"/>
              <w:rPr>
                <w:color w:val="000000" w:themeColor="text1"/>
                <w:szCs w:val="24"/>
              </w:rPr>
            </w:pPr>
            <w:r>
              <w:rPr>
                <w:rFonts w:ascii="cursive" w:hAnsi="cursive" w:eastAsia="cursive" w:cs="cursive"/>
                <w:color w:val="000000" w:themeColor="text1"/>
                <w:szCs w:val="24"/>
              </w:rPr>
              <w:t>每发生</w:t>
            </w:r>
            <w:r>
              <w:rPr>
                <w:rFonts w:ascii="Times New Roman" w:hAnsi="Times New Roman" w:eastAsia="微软雅黑" w:cs="Times New Roman"/>
                <w:color w:val="000000" w:themeColor="text1"/>
                <w:szCs w:val="24"/>
              </w:rPr>
              <w:t>1</w:t>
            </w:r>
            <w:r>
              <w:rPr>
                <w:rFonts w:ascii="cursive" w:hAnsi="cursive" w:eastAsia="cursive" w:cs="cursive"/>
                <w:color w:val="000000" w:themeColor="text1"/>
                <w:szCs w:val="24"/>
              </w:rPr>
              <w:t>次扣</w:t>
            </w:r>
            <w:r>
              <w:rPr>
                <w:rFonts w:hint="eastAsia" w:ascii="Times New Roman" w:hAnsi="Times New Roman" w:eastAsia="微软雅黑" w:cs="Times New Roman"/>
                <w:color w:val="000000" w:themeColor="text1"/>
                <w:szCs w:val="24"/>
              </w:rPr>
              <w:t>1</w:t>
            </w:r>
            <w:r>
              <w:rPr>
                <w:rFonts w:ascii="cursive" w:hAnsi="cursive" w:eastAsia="cursive" w:cs="cursive"/>
                <w:color w:val="000000" w:themeColor="text1"/>
                <w:szCs w:val="24"/>
              </w:rPr>
              <w:t>分</w:t>
            </w:r>
          </w:p>
        </w:tc>
      </w:tr>
      <w:tr>
        <w:tblPrEx>
          <w:tblBorders>
            <w:top w:val="single" w:color="CCCCCC" w:sz="6" w:space="0"/>
            <w:left w:val="single" w:color="CCCCCC" w:sz="6" w:space="0"/>
            <w:bottom w:val="single" w:color="CCCCCC" w:sz="6" w:space="0"/>
            <w:right w:val="single" w:color="CCCCCC" w:sz="6" w:space="0"/>
            <w:insideH w:val="outset" w:color="auto" w:sz="6" w:space="0"/>
            <w:insideV w:val="outset" w:color="auto" w:sz="6" w:space="0"/>
          </w:tblBorders>
          <w:tblCellMar>
            <w:top w:w="105" w:type="dxa"/>
            <w:left w:w="105" w:type="dxa"/>
            <w:bottom w:w="105" w:type="dxa"/>
            <w:right w:w="105" w:type="dxa"/>
          </w:tblCellMar>
        </w:tblPrEx>
        <w:trPr>
          <w:trHeight w:val="654" w:hRule="atLeast"/>
          <w:tblCellSpacing w:w="0" w:type="dxa"/>
          <w:jc w:val="center"/>
        </w:trPr>
        <w:tc>
          <w:tcPr>
            <w:tcW w:w="1076" w:type="dxa"/>
            <w:vMerge w:val="continue"/>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pPr>
              <w:rPr>
                <w:color w:val="000000" w:themeColor="text1"/>
              </w:rPr>
            </w:pPr>
          </w:p>
        </w:tc>
        <w:tc>
          <w:tcPr>
            <w:tcW w:w="5711" w:type="dxa"/>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pPr>
              <w:pStyle w:val="4"/>
              <w:widowControl/>
              <w:wordWrap w:val="0"/>
              <w:spacing w:beforeAutospacing="1" w:afterAutospacing="1"/>
              <w:rPr>
                <w:color w:val="000000" w:themeColor="text1"/>
                <w:szCs w:val="24"/>
              </w:rPr>
            </w:pPr>
            <w:r>
              <w:rPr>
                <w:rFonts w:ascii="Times New Roman" w:hAnsi="Times New Roman" w:eastAsia="微软雅黑" w:cs="Times New Roman"/>
                <w:color w:val="000000" w:themeColor="text1"/>
                <w:szCs w:val="24"/>
              </w:rPr>
              <w:t>2.</w:t>
            </w:r>
            <w:r>
              <w:rPr>
                <w:rFonts w:ascii="cursive" w:hAnsi="cursive" w:eastAsia="cursive" w:cs="cursive"/>
                <w:color w:val="000000" w:themeColor="text1"/>
                <w:szCs w:val="24"/>
              </w:rPr>
              <w:t>因中标候选人公示、中标结果公告、中标通知书内容缺失或错误被主管部门连续</w:t>
            </w:r>
            <w:r>
              <w:rPr>
                <w:rFonts w:ascii="Times New Roman" w:hAnsi="Times New Roman" w:eastAsia="微软雅黑" w:cs="Times New Roman"/>
                <w:color w:val="000000" w:themeColor="text1"/>
                <w:szCs w:val="24"/>
              </w:rPr>
              <w:t>2</w:t>
            </w:r>
            <w:r>
              <w:rPr>
                <w:rFonts w:ascii="cursive" w:hAnsi="cursive" w:eastAsia="cursive" w:cs="cursive"/>
                <w:color w:val="000000" w:themeColor="text1"/>
                <w:szCs w:val="24"/>
              </w:rPr>
              <w:t>次以上退回的。</w:t>
            </w:r>
          </w:p>
        </w:tc>
        <w:tc>
          <w:tcPr>
            <w:tcW w:w="1020" w:type="dxa"/>
            <w:vMerge w:val="continue"/>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pPr>
              <w:rPr>
                <w:color w:val="000000" w:themeColor="text1"/>
              </w:rPr>
            </w:pPr>
          </w:p>
        </w:tc>
        <w:tc>
          <w:tcPr>
            <w:tcW w:w="821" w:type="dxa"/>
            <w:vMerge w:val="continue"/>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pPr>
              <w:rPr>
                <w:color w:val="000000" w:themeColor="text1"/>
              </w:rPr>
            </w:pPr>
          </w:p>
        </w:tc>
      </w:tr>
      <w:tr>
        <w:tblPrEx>
          <w:tblBorders>
            <w:top w:val="single" w:color="CCCCCC" w:sz="6" w:space="0"/>
            <w:left w:val="single" w:color="CCCCCC" w:sz="6" w:space="0"/>
            <w:bottom w:val="single" w:color="CCCCCC" w:sz="6" w:space="0"/>
            <w:right w:val="single" w:color="CCCCCC" w:sz="6" w:space="0"/>
            <w:insideH w:val="outset" w:color="auto" w:sz="6" w:space="0"/>
            <w:insideV w:val="outset" w:color="auto" w:sz="6" w:space="0"/>
          </w:tblBorders>
          <w:tblCellMar>
            <w:top w:w="105" w:type="dxa"/>
            <w:left w:w="105" w:type="dxa"/>
            <w:bottom w:w="105" w:type="dxa"/>
            <w:right w:w="105" w:type="dxa"/>
          </w:tblCellMar>
        </w:tblPrEx>
        <w:trPr>
          <w:trHeight w:val="1887" w:hRule="atLeast"/>
          <w:tblCellSpacing w:w="0" w:type="dxa"/>
          <w:jc w:val="center"/>
        </w:trPr>
        <w:tc>
          <w:tcPr>
            <w:tcW w:w="1076" w:type="dxa"/>
            <w:vMerge w:val="continue"/>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pPr>
              <w:rPr>
                <w:color w:val="000000" w:themeColor="text1"/>
              </w:rPr>
            </w:pPr>
          </w:p>
        </w:tc>
        <w:tc>
          <w:tcPr>
            <w:tcW w:w="5711" w:type="dxa"/>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pPr>
              <w:pStyle w:val="4"/>
              <w:widowControl/>
              <w:wordWrap w:val="0"/>
              <w:spacing w:beforeAutospacing="1" w:afterAutospacing="1"/>
              <w:rPr>
                <w:rFonts w:ascii="宋体" w:eastAsia="宋体" w:cs="宋体"/>
                <w:color w:val="000000" w:themeColor="text1"/>
                <w:szCs w:val="24"/>
              </w:rPr>
            </w:pPr>
            <w:r>
              <w:rPr>
                <w:rFonts w:hint="eastAsia" w:ascii="宋体" w:eastAsia="宋体" w:cs="宋体"/>
                <w:color w:val="000000" w:themeColor="text1"/>
                <w:szCs w:val="24"/>
              </w:rPr>
              <w:t>3.答疑澄清文件、由该招标代理机构编制的工程量清单、工程量清单补遗、招标控制价质量低劣（如不按批注修改澄清文件、修改评标办法不重新生成电子招标文件、清单控制价不按近期信息价编制、发布内容不满足法定时限要求等），被主管部门在事中事后审查发现的。</w:t>
            </w:r>
          </w:p>
        </w:tc>
        <w:tc>
          <w:tcPr>
            <w:tcW w:w="1020" w:type="dxa"/>
            <w:vMerge w:val="continue"/>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pPr>
              <w:rPr>
                <w:color w:val="000000" w:themeColor="text1"/>
              </w:rPr>
            </w:pPr>
          </w:p>
        </w:tc>
        <w:tc>
          <w:tcPr>
            <w:tcW w:w="821" w:type="dxa"/>
            <w:vMerge w:val="continue"/>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pPr>
              <w:rPr>
                <w:color w:val="000000" w:themeColor="text1"/>
              </w:rPr>
            </w:pPr>
          </w:p>
        </w:tc>
      </w:tr>
      <w:tr>
        <w:tblPrEx>
          <w:tblBorders>
            <w:top w:val="single" w:color="CCCCCC" w:sz="6" w:space="0"/>
            <w:left w:val="single" w:color="CCCCCC" w:sz="6" w:space="0"/>
            <w:bottom w:val="single" w:color="CCCCCC" w:sz="6" w:space="0"/>
            <w:right w:val="single" w:color="CCCCCC" w:sz="6" w:space="0"/>
            <w:insideH w:val="outset" w:color="auto" w:sz="6" w:space="0"/>
            <w:insideV w:val="outset" w:color="auto" w:sz="6" w:space="0"/>
          </w:tblBorders>
          <w:tblCellMar>
            <w:top w:w="105" w:type="dxa"/>
            <w:left w:w="105" w:type="dxa"/>
            <w:bottom w:w="105" w:type="dxa"/>
            <w:right w:w="105" w:type="dxa"/>
          </w:tblCellMar>
        </w:tblPrEx>
        <w:trPr>
          <w:trHeight w:val="876" w:hRule="atLeast"/>
          <w:tblCellSpacing w:w="0" w:type="dxa"/>
          <w:jc w:val="center"/>
        </w:trPr>
        <w:tc>
          <w:tcPr>
            <w:tcW w:w="1076" w:type="dxa"/>
            <w:vMerge w:val="continue"/>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pPr>
              <w:rPr>
                <w:color w:val="000000" w:themeColor="text1"/>
              </w:rPr>
            </w:pPr>
          </w:p>
        </w:tc>
        <w:tc>
          <w:tcPr>
            <w:tcW w:w="5711" w:type="dxa"/>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pPr>
              <w:widowControl/>
              <w:rPr>
                <w:rFonts w:ascii="宋体" w:eastAsia="宋体" w:cs="宋体"/>
                <w:color w:val="000000" w:themeColor="text1"/>
                <w:kern w:val="0"/>
                <w:szCs w:val="24"/>
              </w:rPr>
            </w:pPr>
            <w:r>
              <w:rPr>
                <w:rFonts w:hint="eastAsia" w:ascii="宋体" w:cs="宋体"/>
                <w:color w:val="000000" w:themeColor="text1"/>
                <w:sz w:val="24"/>
                <w:szCs w:val="24"/>
              </w:rPr>
              <w:t>4</w:t>
            </w:r>
            <w:r>
              <w:rPr>
                <w:rFonts w:hint="eastAsia" w:ascii="宋体" w:eastAsia="宋体" w:cs="宋体"/>
                <w:color w:val="000000" w:themeColor="text1"/>
                <w:sz w:val="24"/>
                <w:szCs w:val="24"/>
              </w:rPr>
              <w:t>.未及时使用管理系统进行备案（招标文件，含招标公告、控制价、补遗澄清，招标书面情况报告）被下发抽查意见书的</w:t>
            </w:r>
          </w:p>
        </w:tc>
        <w:tc>
          <w:tcPr>
            <w:tcW w:w="1020" w:type="dxa"/>
            <w:vMerge w:val="continue"/>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pPr>
              <w:rPr>
                <w:color w:val="000000" w:themeColor="text1"/>
              </w:rPr>
            </w:pPr>
          </w:p>
        </w:tc>
        <w:tc>
          <w:tcPr>
            <w:tcW w:w="821" w:type="dxa"/>
            <w:vMerge w:val="continue"/>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pPr>
              <w:rPr>
                <w:color w:val="000000" w:themeColor="text1"/>
              </w:rPr>
            </w:pPr>
          </w:p>
        </w:tc>
      </w:tr>
      <w:tr>
        <w:tblPrEx>
          <w:tblBorders>
            <w:top w:val="single" w:color="CCCCCC" w:sz="6" w:space="0"/>
            <w:left w:val="single" w:color="CCCCCC" w:sz="6" w:space="0"/>
            <w:bottom w:val="single" w:color="CCCCCC" w:sz="6" w:space="0"/>
            <w:right w:val="single" w:color="CCCCCC" w:sz="6" w:space="0"/>
            <w:insideH w:val="outset" w:color="auto" w:sz="6" w:space="0"/>
            <w:insideV w:val="outset" w:color="auto" w:sz="6" w:space="0"/>
          </w:tblBorders>
          <w:tblCellMar>
            <w:top w:w="105" w:type="dxa"/>
            <w:left w:w="105" w:type="dxa"/>
            <w:bottom w:w="105" w:type="dxa"/>
            <w:right w:w="105" w:type="dxa"/>
          </w:tblCellMar>
        </w:tblPrEx>
        <w:trPr>
          <w:trHeight w:val="923" w:hRule="atLeast"/>
          <w:tblCellSpacing w:w="0" w:type="dxa"/>
          <w:jc w:val="center"/>
        </w:trPr>
        <w:tc>
          <w:tcPr>
            <w:tcW w:w="1076" w:type="dxa"/>
            <w:vMerge w:val="continue"/>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pPr>
              <w:rPr>
                <w:color w:val="000000" w:themeColor="text1"/>
              </w:rPr>
            </w:pPr>
          </w:p>
        </w:tc>
        <w:tc>
          <w:tcPr>
            <w:tcW w:w="5711" w:type="dxa"/>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pPr>
              <w:widowControl/>
              <w:spacing w:line="320" w:lineRule="exact"/>
              <w:rPr>
                <w:rFonts w:ascii="宋体" w:eastAsia="宋体" w:cs="宋体"/>
                <w:color w:val="000000" w:themeColor="text1"/>
                <w:kern w:val="0"/>
                <w:szCs w:val="24"/>
              </w:rPr>
            </w:pPr>
            <w:r>
              <w:rPr>
                <w:rFonts w:hint="eastAsia" w:ascii="宋体" w:cs="宋体"/>
                <w:color w:val="000000" w:themeColor="text1"/>
                <w:sz w:val="24"/>
                <w:szCs w:val="24"/>
              </w:rPr>
              <w:t>5</w:t>
            </w:r>
            <w:r>
              <w:rPr>
                <w:rFonts w:hint="eastAsia" w:ascii="宋体" w:eastAsia="宋体" w:cs="宋体"/>
                <w:color w:val="000000" w:themeColor="text1"/>
                <w:sz w:val="24"/>
                <w:szCs w:val="24"/>
              </w:rPr>
              <w:t>. 编制的招标文件中含有违反国家对投标保证金、履约保证金、最低投标限价、最高投标限价、要求施工单位垫资等要约内容规定的。</w:t>
            </w:r>
          </w:p>
        </w:tc>
        <w:tc>
          <w:tcPr>
            <w:tcW w:w="1020" w:type="dxa"/>
            <w:vMerge w:val="continue"/>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pPr>
              <w:rPr>
                <w:color w:val="000000" w:themeColor="text1"/>
              </w:rPr>
            </w:pPr>
          </w:p>
        </w:tc>
        <w:tc>
          <w:tcPr>
            <w:tcW w:w="821" w:type="dxa"/>
            <w:vMerge w:val="continue"/>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pPr>
              <w:rPr>
                <w:color w:val="000000" w:themeColor="text1"/>
              </w:rPr>
            </w:pPr>
          </w:p>
        </w:tc>
      </w:tr>
      <w:tr>
        <w:tblPrEx>
          <w:tblBorders>
            <w:top w:val="single" w:color="CCCCCC" w:sz="6" w:space="0"/>
            <w:left w:val="single" w:color="CCCCCC" w:sz="6" w:space="0"/>
            <w:bottom w:val="single" w:color="CCCCCC" w:sz="6" w:space="0"/>
            <w:right w:val="single" w:color="CCCCCC" w:sz="6" w:space="0"/>
            <w:insideH w:val="outset" w:color="auto" w:sz="6" w:space="0"/>
            <w:insideV w:val="outset" w:color="auto" w:sz="6" w:space="0"/>
          </w:tblBorders>
          <w:tblCellMar>
            <w:top w:w="105" w:type="dxa"/>
            <w:left w:w="105" w:type="dxa"/>
            <w:bottom w:w="105" w:type="dxa"/>
            <w:right w:w="105" w:type="dxa"/>
          </w:tblCellMar>
        </w:tblPrEx>
        <w:trPr>
          <w:tblCellSpacing w:w="0" w:type="dxa"/>
          <w:jc w:val="center"/>
        </w:trPr>
        <w:tc>
          <w:tcPr>
            <w:tcW w:w="1076" w:type="dxa"/>
            <w:vMerge w:val="continue"/>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pPr>
              <w:rPr>
                <w:color w:val="000000" w:themeColor="text1"/>
              </w:rPr>
            </w:pPr>
          </w:p>
        </w:tc>
        <w:tc>
          <w:tcPr>
            <w:tcW w:w="5711" w:type="dxa"/>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pPr>
              <w:widowControl/>
              <w:rPr>
                <w:rFonts w:ascii="宋体" w:eastAsia="宋体" w:cs="宋体"/>
                <w:color w:val="000000" w:themeColor="text1"/>
                <w:kern w:val="0"/>
                <w:szCs w:val="24"/>
              </w:rPr>
            </w:pPr>
            <w:r>
              <w:rPr>
                <w:rFonts w:hint="eastAsia" w:ascii="宋体" w:cs="宋体"/>
                <w:color w:val="000000" w:themeColor="text1"/>
                <w:kern w:val="0"/>
              </w:rPr>
              <w:t>6</w:t>
            </w:r>
            <w:r>
              <w:rPr>
                <w:rFonts w:hint="eastAsia" w:ascii="宋体" w:eastAsia="宋体" w:cs="宋体"/>
                <w:color w:val="000000" w:themeColor="text1"/>
                <w:sz w:val="24"/>
                <w:szCs w:val="24"/>
              </w:rPr>
              <w:t>.被授权的招标代理人员未按时出席开标会影响正常开标的。</w:t>
            </w:r>
          </w:p>
        </w:tc>
        <w:tc>
          <w:tcPr>
            <w:tcW w:w="1020" w:type="dxa"/>
            <w:vMerge w:val="continue"/>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pPr>
              <w:rPr>
                <w:color w:val="000000" w:themeColor="text1"/>
              </w:rPr>
            </w:pPr>
          </w:p>
        </w:tc>
        <w:tc>
          <w:tcPr>
            <w:tcW w:w="821" w:type="dxa"/>
            <w:vMerge w:val="continue"/>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pPr>
              <w:rPr>
                <w:color w:val="000000" w:themeColor="text1"/>
              </w:rPr>
            </w:pPr>
          </w:p>
        </w:tc>
      </w:tr>
      <w:tr>
        <w:tblPrEx>
          <w:tblBorders>
            <w:top w:val="single" w:color="CCCCCC" w:sz="6" w:space="0"/>
            <w:left w:val="single" w:color="CCCCCC" w:sz="6" w:space="0"/>
            <w:bottom w:val="single" w:color="CCCCCC" w:sz="6" w:space="0"/>
            <w:right w:val="single" w:color="CCCCCC" w:sz="6" w:space="0"/>
            <w:insideH w:val="outset" w:color="auto" w:sz="6" w:space="0"/>
            <w:insideV w:val="outset" w:color="auto" w:sz="6" w:space="0"/>
          </w:tblBorders>
          <w:tblCellMar>
            <w:top w:w="105" w:type="dxa"/>
            <w:left w:w="105" w:type="dxa"/>
            <w:bottom w:w="105" w:type="dxa"/>
            <w:right w:w="105" w:type="dxa"/>
          </w:tblCellMar>
        </w:tblPrEx>
        <w:trPr>
          <w:tblCellSpacing w:w="0" w:type="dxa"/>
          <w:jc w:val="center"/>
        </w:trPr>
        <w:tc>
          <w:tcPr>
            <w:tcW w:w="1076" w:type="dxa"/>
            <w:vMerge w:val="continue"/>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pPr>
              <w:rPr>
                <w:color w:val="000000" w:themeColor="text1"/>
              </w:rPr>
            </w:pPr>
          </w:p>
        </w:tc>
        <w:tc>
          <w:tcPr>
            <w:tcW w:w="5711" w:type="dxa"/>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pPr>
              <w:pStyle w:val="4"/>
              <w:widowControl/>
              <w:wordWrap w:val="0"/>
              <w:spacing w:beforeAutospacing="1" w:afterAutospacing="1"/>
              <w:rPr>
                <w:rFonts w:ascii="宋体" w:eastAsia="宋体" w:cs="宋体"/>
                <w:color w:val="000000" w:themeColor="text1"/>
                <w:szCs w:val="24"/>
              </w:rPr>
            </w:pPr>
            <w:r>
              <w:rPr>
                <w:rFonts w:hint="eastAsia" w:ascii="宋体" w:cs="宋体"/>
                <w:color w:val="000000" w:themeColor="text1"/>
                <w:kern w:val="0"/>
              </w:rPr>
              <w:t>7</w:t>
            </w:r>
            <w:r>
              <w:rPr>
                <w:rFonts w:hint="eastAsia" w:ascii="宋体" w:eastAsia="宋体" w:cs="宋体"/>
                <w:color w:val="000000" w:themeColor="text1"/>
                <w:kern w:val="0"/>
              </w:rPr>
              <w:t>.违反交易中心相关管理规定的。</w:t>
            </w:r>
          </w:p>
        </w:tc>
        <w:tc>
          <w:tcPr>
            <w:tcW w:w="1020" w:type="dxa"/>
            <w:vMerge w:val="continue"/>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pPr>
              <w:rPr>
                <w:color w:val="000000" w:themeColor="text1"/>
              </w:rPr>
            </w:pPr>
          </w:p>
        </w:tc>
        <w:tc>
          <w:tcPr>
            <w:tcW w:w="821" w:type="dxa"/>
            <w:vMerge w:val="continue"/>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pPr>
              <w:rPr>
                <w:color w:val="000000" w:themeColor="text1"/>
              </w:rPr>
            </w:pPr>
          </w:p>
        </w:tc>
      </w:tr>
      <w:tr>
        <w:tblPrEx>
          <w:tblBorders>
            <w:top w:val="single" w:color="CCCCCC" w:sz="6" w:space="0"/>
            <w:left w:val="single" w:color="CCCCCC" w:sz="6" w:space="0"/>
            <w:bottom w:val="single" w:color="CCCCCC" w:sz="6" w:space="0"/>
            <w:right w:val="single" w:color="CCCCCC" w:sz="6" w:space="0"/>
            <w:insideH w:val="outset" w:color="auto" w:sz="6" w:space="0"/>
            <w:insideV w:val="outset" w:color="auto" w:sz="6" w:space="0"/>
          </w:tblBorders>
          <w:tblCellMar>
            <w:top w:w="105" w:type="dxa"/>
            <w:left w:w="105" w:type="dxa"/>
            <w:bottom w:w="105" w:type="dxa"/>
            <w:right w:w="105" w:type="dxa"/>
          </w:tblCellMar>
        </w:tblPrEx>
        <w:trPr>
          <w:trHeight w:val="364" w:hRule="atLeast"/>
          <w:tblCellSpacing w:w="0" w:type="dxa"/>
          <w:jc w:val="center"/>
        </w:trPr>
        <w:tc>
          <w:tcPr>
            <w:tcW w:w="1076" w:type="dxa"/>
            <w:vMerge w:val="continue"/>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pPr>
              <w:rPr>
                <w:color w:val="000000" w:themeColor="text1"/>
              </w:rPr>
            </w:pPr>
          </w:p>
        </w:tc>
        <w:tc>
          <w:tcPr>
            <w:tcW w:w="5711" w:type="dxa"/>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pPr>
              <w:pStyle w:val="4"/>
              <w:widowControl/>
              <w:wordWrap w:val="0"/>
              <w:spacing w:beforeAutospacing="1" w:afterAutospacing="1"/>
              <w:rPr>
                <w:rFonts w:ascii="宋体" w:eastAsia="宋体" w:cs="宋体"/>
                <w:color w:val="000000" w:themeColor="text1"/>
                <w:szCs w:val="24"/>
              </w:rPr>
            </w:pPr>
            <w:r>
              <w:rPr>
                <w:rFonts w:hint="eastAsia" w:ascii="宋体" w:cs="宋体"/>
                <w:color w:val="000000" w:themeColor="text1"/>
                <w:szCs w:val="24"/>
              </w:rPr>
              <w:t>8.</w:t>
            </w:r>
            <w:r>
              <w:rPr>
                <w:rFonts w:hint="eastAsia" w:ascii="宋体" w:eastAsia="宋体" w:cs="宋体"/>
                <w:color w:val="000000" w:themeColor="text1"/>
                <w:szCs w:val="24"/>
              </w:rPr>
              <w:t>招投标情况书面报告内容不符合主管部门要求。</w:t>
            </w:r>
          </w:p>
        </w:tc>
        <w:tc>
          <w:tcPr>
            <w:tcW w:w="1020" w:type="dxa"/>
            <w:vMerge w:val="continue"/>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pPr>
              <w:rPr>
                <w:color w:val="000000" w:themeColor="text1"/>
              </w:rPr>
            </w:pPr>
          </w:p>
        </w:tc>
        <w:tc>
          <w:tcPr>
            <w:tcW w:w="821" w:type="dxa"/>
            <w:vMerge w:val="continue"/>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pPr>
              <w:rPr>
                <w:color w:val="000000" w:themeColor="text1"/>
              </w:rPr>
            </w:pPr>
          </w:p>
        </w:tc>
      </w:tr>
      <w:tr>
        <w:tblPrEx>
          <w:tblBorders>
            <w:top w:val="single" w:color="CCCCCC" w:sz="6" w:space="0"/>
            <w:left w:val="single" w:color="CCCCCC" w:sz="6" w:space="0"/>
            <w:bottom w:val="single" w:color="CCCCCC" w:sz="6" w:space="0"/>
            <w:right w:val="single" w:color="CCCCCC" w:sz="6" w:space="0"/>
            <w:insideH w:val="outset" w:color="auto" w:sz="6" w:space="0"/>
            <w:insideV w:val="outset" w:color="auto" w:sz="6" w:space="0"/>
          </w:tblBorders>
          <w:tblCellMar>
            <w:top w:w="105" w:type="dxa"/>
            <w:left w:w="105" w:type="dxa"/>
            <w:bottom w:w="105" w:type="dxa"/>
            <w:right w:w="105" w:type="dxa"/>
          </w:tblCellMar>
        </w:tblPrEx>
        <w:trPr>
          <w:trHeight w:val="587" w:hRule="atLeast"/>
          <w:tblCellSpacing w:w="0" w:type="dxa"/>
          <w:jc w:val="center"/>
        </w:trPr>
        <w:tc>
          <w:tcPr>
            <w:tcW w:w="1076" w:type="dxa"/>
            <w:vMerge w:val="continue"/>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pPr>
              <w:rPr>
                <w:color w:val="000000" w:themeColor="text1"/>
              </w:rPr>
            </w:pPr>
          </w:p>
        </w:tc>
        <w:tc>
          <w:tcPr>
            <w:tcW w:w="5711" w:type="dxa"/>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pPr>
              <w:pStyle w:val="4"/>
              <w:widowControl/>
              <w:wordWrap w:val="0"/>
              <w:spacing w:beforeAutospacing="1" w:afterAutospacing="1"/>
              <w:rPr>
                <w:rFonts w:ascii="宋体" w:eastAsia="宋体" w:cs="宋体"/>
                <w:color w:val="000000" w:themeColor="text1"/>
                <w:szCs w:val="24"/>
              </w:rPr>
            </w:pPr>
            <w:r>
              <w:rPr>
                <w:rFonts w:hint="eastAsia" w:ascii="宋体" w:cs="宋体"/>
                <w:color w:val="000000" w:themeColor="text1"/>
                <w:szCs w:val="24"/>
              </w:rPr>
              <w:t>9.</w:t>
            </w:r>
            <w:r>
              <w:rPr>
                <w:rFonts w:hint="eastAsia" w:ascii="宋体" w:eastAsia="宋体" w:cs="宋体"/>
                <w:color w:val="000000" w:themeColor="text1"/>
                <w:szCs w:val="24"/>
              </w:rPr>
              <w:t>因招标代理原因无法解密电子投标文件，严重影响开标的。</w:t>
            </w:r>
          </w:p>
        </w:tc>
        <w:tc>
          <w:tcPr>
            <w:tcW w:w="1020" w:type="dxa"/>
            <w:vMerge w:val="continue"/>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pPr>
              <w:rPr>
                <w:color w:val="000000" w:themeColor="text1"/>
              </w:rPr>
            </w:pPr>
          </w:p>
        </w:tc>
        <w:tc>
          <w:tcPr>
            <w:tcW w:w="821" w:type="dxa"/>
            <w:vMerge w:val="continue"/>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pPr>
              <w:rPr>
                <w:color w:val="000000" w:themeColor="text1"/>
              </w:rPr>
            </w:pPr>
          </w:p>
        </w:tc>
      </w:tr>
      <w:tr>
        <w:tblPrEx>
          <w:tblBorders>
            <w:top w:val="single" w:color="CCCCCC" w:sz="6" w:space="0"/>
            <w:left w:val="single" w:color="CCCCCC" w:sz="6" w:space="0"/>
            <w:bottom w:val="single" w:color="CCCCCC" w:sz="6" w:space="0"/>
            <w:right w:val="single" w:color="CCCCCC" w:sz="6" w:space="0"/>
            <w:insideH w:val="outset" w:color="auto" w:sz="6" w:space="0"/>
            <w:insideV w:val="outset" w:color="auto" w:sz="6" w:space="0"/>
          </w:tblBorders>
          <w:tblCellMar>
            <w:top w:w="105" w:type="dxa"/>
            <w:left w:w="105" w:type="dxa"/>
            <w:bottom w:w="105" w:type="dxa"/>
            <w:right w:w="105" w:type="dxa"/>
          </w:tblCellMar>
        </w:tblPrEx>
        <w:trPr>
          <w:trHeight w:val="1203" w:hRule="atLeast"/>
          <w:tblCellSpacing w:w="0" w:type="dxa"/>
          <w:jc w:val="center"/>
        </w:trPr>
        <w:tc>
          <w:tcPr>
            <w:tcW w:w="1076" w:type="dxa"/>
            <w:vMerge w:val="continue"/>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pPr>
              <w:rPr>
                <w:color w:val="000000" w:themeColor="text1"/>
              </w:rPr>
            </w:pPr>
          </w:p>
        </w:tc>
        <w:tc>
          <w:tcPr>
            <w:tcW w:w="5711" w:type="dxa"/>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pPr>
              <w:pStyle w:val="4"/>
              <w:widowControl/>
              <w:wordWrap w:val="0"/>
              <w:spacing w:beforeAutospacing="1"/>
              <w:rPr>
                <w:rFonts w:ascii="宋体" w:cs="宋体"/>
                <w:color w:val="000000" w:themeColor="text1"/>
                <w:kern w:val="0"/>
              </w:rPr>
            </w:pPr>
            <w:r>
              <w:rPr>
                <w:rFonts w:hint="eastAsia" w:ascii="宋体" w:eastAsia="宋体" w:cs="宋体"/>
                <w:color w:val="000000" w:themeColor="text1"/>
                <w:szCs w:val="24"/>
              </w:rPr>
              <w:t>10.发出的招标公告、资格预审公告、资格预审文件、招标文件及其澄清文件、资格预审结果通知、中标通知等数据电文未按要求进行电子签名并进行电子存档的；</w:t>
            </w:r>
          </w:p>
        </w:tc>
        <w:tc>
          <w:tcPr>
            <w:tcW w:w="1020" w:type="dxa"/>
            <w:vMerge w:val="continue"/>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pPr>
              <w:rPr>
                <w:color w:val="000000" w:themeColor="text1"/>
              </w:rPr>
            </w:pPr>
          </w:p>
        </w:tc>
        <w:tc>
          <w:tcPr>
            <w:tcW w:w="821" w:type="dxa"/>
            <w:vMerge w:val="continue"/>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pPr>
              <w:rPr>
                <w:color w:val="000000" w:themeColor="text1"/>
              </w:rPr>
            </w:pPr>
          </w:p>
        </w:tc>
      </w:tr>
      <w:tr>
        <w:tblPrEx>
          <w:tblBorders>
            <w:top w:val="single" w:color="CCCCCC" w:sz="6" w:space="0"/>
            <w:left w:val="single" w:color="CCCCCC" w:sz="6" w:space="0"/>
            <w:bottom w:val="single" w:color="CCCCCC" w:sz="6" w:space="0"/>
            <w:right w:val="single" w:color="CCCCCC" w:sz="6" w:space="0"/>
            <w:insideH w:val="outset" w:color="auto" w:sz="6" w:space="0"/>
            <w:insideV w:val="outset" w:color="auto" w:sz="6" w:space="0"/>
          </w:tblBorders>
          <w:tblCellMar>
            <w:top w:w="105" w:type="dxa"/>
            <w:left w:w="105" w:type="dxa"/>
            <w:bottom w:w="105" w:type="dxa"/>
            <w:right w:w="105" w:type="dxa"/>
          </w:tblCellMar>
        </w:tblPrEx>
        <w:trPr>
          <w:tblCellSpacing w:w="0" w:type="dxa"/>
          <w:jc w:val="center"/>
        </w:trPr>
        <w:tc>
          <w:tcPr>
            <w:tcW w:w="1076" w:type="dxa"/>
            <w:vMerge w:val="continue"/>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pPr>
              <w:rPr>
                <w:color w:val="000000" w:themeColor="text1"/>
              </w:rPr>
            </w:pPr>
          </w:p>
        </w:tc>
        <w:tc>
          <w:tcPr>
            <w:tcW w:w="5711" w:type="dxa"/>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pPr>
              <w:pStyle w:val="4"/>
              <w:widowControl/>
              <w:wordWrap w:val="0"/>
              <w:spacing w:beforeAutospacing="1" w:afterAutospacing="1"/>
              <w:rPr>
                <w:rFonts w:ascii="宋体" w:eastAsia="宋体" w:cs="宋体"/>
                <w:color w:val="000000" w:themeColor="text1"/>
                <w:szCs w:val="24"/>
              </w:rPr>
            </w:pPr>
            <w:r>
              <w:rPr>
                <w:rFonts w:hint="eastAsia" w:ascii="宋体" w:cs="宋体"/>
                <w:color w:val="000000" w:themeColor="text1"/>
                <w:kern w:val="0"/>
              </w:rPr>
              <w:t>11.</w:t>
            </w:r>
            <w:r>
              <w:rPr>
                <w:rFonts w:hint="eastAsia" w:ascii="宋体" w:eastAsia="宋体" w:cs="宋体"/>
                <w:color w:val="000000" w:themeColor="text1"/>
                <w:kern w:val="0"/>
              </w:rPr>
              <w:t xml:space="preserve"> 被其他行政监督部门认定的轻微不规范行为。</w:t>
            </w:r>
          </w:p>
        </w:tc>
        <w:tc>
          <w:tcPr>
            <w:tcW w:w="1020" w:type="dxa"/>
            <w:vMerge w:val="continue"/>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pPr>
              <w:rPr>
                <w:color w:val="000000" w:themeColor="text1"/>
              </w:rPr>
            </w:pPr>
          </w:p>
        </w:tc>
        <w:tc>
          <w:tcPr>
            <w:tcW w:w="821" w:type="dxa"/>
            <w:vMerge w:val="continue"/>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pPr>
              <w:rPr>
                <w:color w:val="000000" w:themeColor="text1"/>
              </w:rPr>
            </w:pPr>
          </w:p>
        </w:tc>
      </w:tr>
    </w:tbl>
    <w:p>
      <w:pPr>
        <w:jc w:val="left"/>
        <w:rPr>
          <w:rFonts w:ascii="宋体" w:eastAsia="宋体" w:cs="宋体"/>
          <w:color w:val="525353"/>
          <w:sz w:val="32"/>
          <w:szCs w:val="32"/>
        </w:rPr>
      </w:pPr>
    </w:p>
    <w:p>
      <w:pPr>
        <w:jc w:val="left"/>
        <w:rPr>
          <w:rFonts w:ascii="宋体" w:eastAsia="宋体" w:cs="宋体"/>
          <w:color w:val="525353"/>
          <w:sz w:val="32"/>
          <w:szCs w:val="32"/>
        </w:rPr>
      </w:pPr>
    </w:p>
    <w:p>
      <w:pPr>
        <w:jc w:val="left"/>
        <w:rPr>
          <w:rFonts w:ascii="宋体" w:eastAsia="宋体" w:cs="宋体"/>
          <w:color w:val="525353"/>
          <w:sz w:val="32"/>
          <w:szCs w:val="32"/>
        </w:rPr>
      </w:pPr>
    </w:p>
    <w:p>
      <w:pPr>
        <w:jc w:val="left"/>
        <w:rPr>
          <w:rFonts w:ascii="宋体" w:eastAsia="宋体" w:cs="宋体"/>
          <w:color w:val="525353"/>
          <w:sz w:val="32"/>
          <w:szCs w:val="32"/>
        </w:rPr>
      </w:pPr>
    </w:p>
    <w:p>
      <w:pPr>
        <w:jc w:val="left"/>
        <w:rPr>
          <w:rFonts w:ascii="黑体" w:eastAsia="黑体"/>
          <w:sz w:val="32"/>
          <w:szCs w:val="32"/>
        </w:rPr>
      </w:pPr>
      <w:r>
        <w:rPr>
          <w:rFonts w:hint="eastAsia" w:ascii="Times New Roman" w:hAnsi="Times New Roman" w:eastAsia="黑体" w:cs="Times New Roman"/>
          <w:sz w:val="32"/>
          <w:szCs w:val="32"/>
        </w:rPr>
        <w:t xml:space="preserve">附件3  </w:t>
      </w:r>
    </w:p>
    <w:p>
      <w:pPr>
        <w:jc w:val="center"/>
        <w:rPr>
          <w:rFonts w:ascii="黑体" w:eastAsia="黑体"/>
          <w:color w:val="000000"/>
          <w:sz w:val="32"/>
          <w:szCs w:val="32"/>
        </w:rPr>
      </w:pPr>
      <w:r>
        <w:rPr>
          <w:rFonts w:hint="eastAsia" w:ascii="黑体" w:eastAsia="黑体"/>
          <w:color w:val="000000"/>
          <w:sz w:val="32"/>
          <w:szCs w:val="32"/>
        </w:rPr>
        <w:t>业务质量考评专项检查表</w:t>
      </w:r>
    </w:p>
    <w:p>
      <w:pPr>
        <w:spacing w:line="320" w:lineRule="exact"/>
        <w:rPr>
          <w:rFonts w:eastAsia="宋体"/>
          <w:sz w:val="24"/>
          <w:szCs w:val="24"/>
          <w:u w:val="single"/>
        </w:rPr>
      </w:pPr>
      <w:r>
        <w:rPr>
          <w:rFonts w:hint="eastAsia"/>
          <w:sz w:val="24"/>
          <w:szCs w:val="24"/>
        </w:rPr>
        <w:t>市县（区）  检查日期：</w:t>
      </w:r>
      <w:r>
        <w:rPr>
          <w:sz w:val="24"/>
          <w:szCs w:val="24"/>
        </w:rPr>
        <w:t>年月</w:t>
      </w:r>
      <w:r>
        <w:rPr>
          <w:rFonts w:hint="eastAsia"/>
          <w:sz w:val="24"/>
          <w:szCs w:val="24"/>
        </w:rPr>
        <w:t xml:space="preserve"> 日</w:t>
      </w:r>
    </w:p>
    <w:tbl>
      <w:tblPr>
        <w:tblStyle w:val="5"/>
        <w:tblW w:w="110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1"/>
        <w:gridCol w:w="1807"/>
        <w:gridCol w:w="839"/>
        <w:gridCol w:w="1880"/>
        <w:gridCol w:w="104"/>
        <w:gridCol w:w="18"/>
        <w:gridCol w:w="1145"/>
        <w:gridCol w:w="447"/>
        <w:gridCol w:w="2245"/>
        <w:gridCol w:w="17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811" w:type="dxa"/>
            <w:vMerge w:val="restart"/>
            <w:vAlign w:val="center"/>
          </w:tcPr>
          <w:p>
            <w:pPr>
              <w:jc w:val="center"/>
              <w:rPr>
                <w:rFonts w:ascii="黑体" w:eastAsia="黑体"/>
                <w:sz w:val="24"/>
                <w:szCs w:val="24"/>
              </w:rPr>
            </w:pPr>
            <w:r>
              <w:rPr>
                <w:rFonts w:hint="eastAsia" w:ascii="黑体" w:eastAsia="黑体"/>
                <w:sz w:val="24"/>
                <w:szCs w:val="24"/>
              </w:rPr>
              <w:t>项目基本情况</w:t>
            </w:r>
          </w:p>
        </w:tc>
        <w:tc>
          <w:tcPr>
            <w:tcW w:w="1807" w:type="dxa"/>
            <w:vAlign w:val="center"/>
          </w:tcPr>
          <w:p>
            <w:pPr>
              <w:jc w:val="center"/>
              <w:rPr>
                <w:sz w:val="24"/>
                <w:szCs w:val="24"/>
              </w:rPr>
            </w:pPr>
            <w:r>
              <w:rPr>
                <w:sz w:val="24"/>
                <w:szCs w:val="24"/>
              </w:rPr>
              <w:t>项目名称</w:t>
            </w:r>
          </w:p>
        </w:tc>
        <w:tc>
          <w:tcPr>
            <w:tcW w:w="2841" w:type="dxa"/>
            <w:gridSpan w:val="4"/>
            <w:vAlign w:val="center"/>
          </w:tcPr>
          <w:p>
            <w:pPr>
              <w:jc w:val="center"/>
              <w:rPr>
                <w:sz w:val="24"/>
                <w:szCs w:val="24"/>
              </w:rPr>
            </w:pPr>
          </w:p>
        </w:tc>
        <w:tc>
          <w:tcPr>
            <w:tcW w:w="1592" w:type="dxa"/>
            <w:gridSpan w:val="2"/>
            <w:vAlign w:val="center"/>
          </w:tcPr>
          <w:p>
            <w:pPr>
              <w:jc w:val="center"/>
              <w:rPr>
                <w:sz w:val="24"/>
                <w:szCs w:val="24"/>
              </w:rPr>
            </w:pPr>
            <w:r>
              <w:rPr>
                <w:sz w:val="24"/>
                <w:szCs w:val="24"/>
              </w:rPr>
              <w:t>招标人名称</w:t>
            </w:r>
          </w:p>
        </w:tc>
        <w:tc>
          <w:tcPr>
            <w:tcW w:w="4029" w:type="dxa"/>
            <w:gridSpan w:val="2"/>
            <w:vAlign w:val="center"/>
          </w:tcPr>
          <w:p>
            <w:pPr>
              <w:spacing w:line="360" w:lineRule="exact"/>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11" w:type="dxa"/>
            <w:vMerge w:val="continue"/>
            <w:vAlign w:val="center"/>
          </w:tcPr>
          <w:p/>
        </w:tc>
        <w:tc>
          <w:tcPr>
            <w:tcW w:w="1807" w:type="dxa"/>
            <w:vAlign w:val="center"/>
          </w:tcPr>
          <w:p>
            <w:pPr>
              <w:jc w:val="center"/>
              <w:rPr>
                <w:sz w:val="24"/>
                <w:szCs w:val="24"/>
              </w:rPr>
            </w:pPr>
            <w:r>
              <w:rPr>
                <w:rFonts w:hint="eastAsia"/>
                <w:sz w:val="24"/>
                <w:szCs w:val="24"/>
              </w:rPr>
              <w:t>招标代理机构</w:t>
            </w:r>
          </w:p>
        </w:tc>
        <w:tc>
          <w:tcPr>
            <w:tcW w:w="8462" w:type="dxa"/>
            <w:gridSpan w:val="8"/>
            <w:vAlign w:val="center"/>
          </w:tcPr>
          <w:p>
            <w:pPr>
              <w:spacing w:line="360" w:lineRule="exact"/>
              <w:jc w:val="lef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811" w:type="dxa"/>
            <w:vMerge w:val="continue"/>
            <w:vAlign w:val="center"/>
          </w:tcPr>
          <w:p/>
        </w:tc>
        <w:tc>
          <w:tcPr>
            <w:tcW w:w="1807" w:type="dxa"/>
            <w:vAlign w:val="center"/>
          </w:tcPr>
          <w:p>
            <w:pPr>
              <w:spacing w:line="360" w:lineRule="exact"/>
              <w:jc w:val="center"/>
              <w:rPr>
                <w:sz w:val="24"/>
                <w:szCs w:val="24"/>
              </w:rPr>
            </w:pPr>
            <w:r>
              <w:rPr>
                <w:rFonts w:hint="eastAsia"/>
                <w:sz w:val="24"/>
                <w:szCs w:val="24"/>
              </w:rPr>
              <w:t>项目总投资</w:t>
            </w:r>
          </w:p>
        </w:tc>
        <w:tc>
          <w:tcPr>
            <w:tcW w:w="2841" w:type="dxa"/>
            <w:gridSpan w:val="4"/>
            <w:vAlign w:val="center"/>
          </w:tcPr>
          <w:p>
            <w:pPr>
              <w:spacing w:line="360" w:lineRule="exact"/>
              <w:rPr>
                <w:sz w:val="24"/>
                <w:szCs w:val="24"/>
              </w:rPr>
            </w:pPr>
          </w:p>
        </w:tc>
        <w:tc>
          <w:tcPr>
            <w:tcW w:w="1592" w:type="dxa"/>
            <w:gridSpan w:val="2"/>
            <w:vAlign w:val="center"/>
          </w:tcPr>
          <w:p>
            <w:pPr>
              <w:spacing w:line="360" w:lineRule="exact"/>
              <w:jc w:val="center"/>
              <w:rPr>
                <w:sz w:val="24"/>
                <w:szCs w:val="24"/>
              </w:rPr>
            </w:pPr>
            <w:r>
              <w:rPr>
                <w:rFonts w:hint="eastAsia"/>
                <w:sz w:val="24"/>
                <w:szCs w:val="24"/>
              </w:rPr>
              <w:t>资金来源</w:t>
            </w:r>
          </w:p>
        </w:tc>
        <w:tc>
          <w:tcPr>
            <w:tcW w:w="4029" w:type="dxa"/>
            <w:gridSpan w:val="2"/>
            <w:vAlign w:val="center"/>
          </w:tcPr>
          <w:p>
            <w:pPr>
              <w:spacing w:line="360" w:lineRule="exac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811" w:type="dxa"/>
            <w:vAlign w:val="center"/>
          </w:tcPr>
          <w:p>
            <w:pPr>
              <w:spacing w:line="240" w:lineRule="exact"/>
              <w:jc w:val="center"/>
              <w:rPr>
                <w:rFonts w:ascii="黑体" w:eastAsia="黑体"/>
                <w:sz w:val="24"/>
                <w:szCs w:val="24"/>
              </w:rPr>
            </w:pPr>
            <w:r>
              <w:rPr>
                <w:rFonts w:hint="eastAsia" w:ascii="黑体" w:eastAsia="黑体"/>
                <w:sz w:val="24"/>
                <w:szCs w:val="24"/>
              </w:rPr>
              <w:t>代理合同</w:t>
            </w:r>
          </w:p>
        </w:tc>
        <w:tc>
          <w:tcPr>
            <w:tcW w:w="6240" w:type="dxa"/>
            <w:gridSpan w:val="7"/>
            <w:vAlign w:val="center"/>
          </w:tcPr>
          <w:p>
            <w:pPr>
              <w:spacing w:line="360" w:lineRule="exact"/>
              <w:rPr>
                <w:sz w:val="24"/>
                <w:szCs w:val="24"/>
              </w:rPr>
            </w:pPr>
            <w:r>
              <w:rPr>
                <w:sz w:val="24"/>
                <w:szCs w:val="24"/>
              </w:rPr>
              <w:t>是否</w:t>
            </w:r>
            <w:r>
              <w:rPr>
                <w:rFonts w:hint="eastAsia"/>
                <w:sz w:val="24"/>
                <w:szCs w:val="24"/>
              </w:rPr>
              <w:t>签订代理合同：□是□否</w:t>
            </w:r>
          </w:p>
        </w:tc>
        <w:tc>
          <w:tcPr>
            <w:tcW w:w="4029" w:type="dxa"/>
            <w:gridSpan w:val="2"/>
            <w:vAlign w:val="center"/>
          </w:tcPr>
          <w:p>
            <w:pPr>
              <w:spacing w:line="360" w:lineRule="exact"/>
              <w:rPr>
                <w:sz w:val="24"/>
                <w:szCs w:val="24"/>
              </w:rPr>
            </w:pPr>
            <w:r>
              <w:rPr>
                <w:sz w:val="24"/>
                <w:szCs w:val="24"/>
              </w:rPr>
              <w:t>合同代理酬金</w:t>
            </w:r>
            <w:r>
              <w:rPr>
                <w:rFonts w:hint="eastAsia"/>
                <w:sz w:val="24"/>
                <w:szCs w:val="24"/>
              </w:rPr>
              <w:t>：</w:t>
            </w:r>
            <w:r>
              <w:rPr>
                <w:sz w:val="24"/>
                <w:szCs w:val="24"/>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811" w:type="dxa"/>
            <w:vAlign w:val="center"/>
          </w:tcPr>
          <w:p>
            <w:pPr>
              <w:jc w:val="center"/>
              <w:rPr>
                <w:rFonts w:ascii="黑体" w:eastAsia="黑体"/>
                <w:sz w:val="24"/>
                <w:szCs w:val="24"/>
              </w:rPr>
            </w:pPr>
            <w:r>
              <w:rPr>
                <w:rFonts w:hint="eastAsia" w:ascii="黑体" w:eastAsia="黑体"/>
                <w:sz w:val="24"/>
                <w:szCs w:val="24"/>
              </w:rPr>
              <w:t>招标方式</w:t>
            </w:r>
          </w:p>
        </w:tc>
        <w:tc>
          <w:tcPr>
            <w:tcW w:w="4648" w:type="dxa"/>
            <w:gridSpan w:val="5"/>
            <w:vAlign w:val="center"/>
          </w:tcPr>
          <w:p>
            <w:pPr>
              <w:spacing w:line="360" w:lineRule="exact"/>
              <w:rPr>
                <w:sz w:val="24"/>
                <w:szCs w:val="24"/>
              </w:rPr>
            </w:pPr>
            <w:r>
              <w:rPr>
                <w:rFonts w:hint="eastAsia"/>
                <w:sz w:val="24"/>
                <w:szCs w:val="24"/>
              </w:rPr>
              <w:t>□公开招标      □邀请招标</w:t>
            </w:r>
          </w:p>
        </w:tc>
        <w:tc>
          <w:tcPr>
            <w:tcW w:w="5621" w:type="dxa"/>
            <w:gridSpan w:val="4"/>
            <w:vAlign w:val="center"/>
          </w:tcPr>
          <w:p>
            <w:pPr>
              <w:spacing w:line="360" w:lineRule="exact"/>
              <w:rPr>
                <w:sz w:val="24"/>
                <w:szCs w:val="24"/>
              </w:rPr>
            </w:pPr>
            <w:r>
              <w:rPr>
                <w:rFonts w:hint="eastAsia"/>
                <w:sz w:val="24"/>
                <w:szCs w:val="24"/>
              </w:rPr>
              <w:t>是否与核准方式一致：□是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811" w:type="dxa"/>
            <w:vMerge w:val="restart"/>
            <w:vAlign w:val="center"/>
          </w:tcPr>
          <w:p>
            <w:pPr>
              <w:jc w:val="center"/>
              <w:rPr>
                <w:rFonts w:ascii="黑体" w:eastAsia="黑体"/>
                <w:sz w:val="24"/>
                <w:szCs w:val="24"/>
              </w:rPr>
            </w:pPr>
            <w:r>
              <w:rPr>
                <w:rFonts w:hint="eastAsia" w:ascii="黑体" w:eastAsia="黑体"/>
                <w:sz w:val="24"/>
                <w:szCs w:val="24"/>
              </w:rPr>
              <w:t>招标公告</w:t>
            </w:r>
          </w:p>
        </w:tc>
        <w:tc>
          <w:tcPr>
            <w:tcW w:w="4648" w:type="dxa"/>
            <w:gridSpan w:val="5"/>
            <w:vAlign w:val="center"/>
          </w:tcPr>
          <w:p>
            <w:pPr>
              <w:spacing w:line="360" w:lineRule="exact"/>
              <w:rPr>
                <w:sz w:val="24"/>
                <w:szCs w:val="24"/>
              </w:rPr>
            </w:pPr>
            <w:r>
              <w:rPr>
                <w:rFonts w:hint="eastAsia"/>
                <w:sz w:val="24"/>
                <w:szCs w:val="24"/>
              </w:rPr>
              <w:t>公告发布时间：□少于5日□不少于5日</w:t>
            </w:r>
          </w:p>
        </w:tc>
        <w:tc>
          <w:tcPr>
            <w:tcW w:w="5621" w:type="dxa"/>
            <w:gridSpan w:val="4"/>
            <w:vAlign w:val="center"/>
          </w:tcPr>
          <w:p>
            <w:pPr>
              <w:spacing w:line="360" w:lineRule="exac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jc w:val="center"/>
        </w:trPr>
        <w:tc>
          <w:tcPr>
            <w:tcW w:w="811" w:type="dxa"/>
            <w:vMerge w:val="continue"/>
            <w:vAlign w:val="center"/>
          </w:tcPr>
          <w:p/>
        </w:tc>
        <w:tc>
          <w:tcPr>
            <w:tcW w:w="10269" w:type="dxa"/>
            <w:gridSpan w:val="9"/>
            <w:vAlign w:val="center"/>
          </w:tcPr>
          <w:p>
            <w:pPr>
              <w:spacing w:line="360" w:lineRule="exact"/>
              <w:rPr>
                <w:sz w:val="24"/>
                <w:szCs w:val="24"/>
              </w:rPr>
            </w:pPr>
            <w:r>
              <w:rPr>
                <w:rFonts w:hint="eastAsia"/>
                <w:sz w:val="24"/>
                <w:szCs w:val="24"/>
              </w:rPr>
              <w:t>公告发布的媒介：□中国招标投标公共服务平台□广西壮族自治区招标投标公共服务平台</w:t>
            </w:r>
          </w:p>
          <w:p>
            <w:pPr>
              <w:spacing w:line="360" w:lineRule="exact"/>
              <w:rPr>
                <w:sz w:val="24"/>
                <w:szCs w:val="24"/>
                <w:u w:val="single"/>
              </w:rPr>
            </w:pPr>
            <w:r>
              <w:rPr>
                <w:rFonts w:hint="eastAsia"/>
                <w:sz w:val="24"/>
                <w:szCs w:val="24"/>
              </w:rPr>
              <w:t>□</w:t>
            </w:r>
            <w:r>
              <w:rPr>
                <w:sz w:val="24"/>
                <w:szCs w:val="24"/>
              </w:rPr>
              <w:t>柳州市公共资源交易</w:t>
            </w:r>
            <w:r>
              <w:rPr>
                <w:rFonts w:hint="eastAsia"/>
                <w:sz w:val="24"/>
                <w:szCs w:val="24"/>
              </w:rPr>
              <w:t xml:space="preserve">中心网站      □其他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 w:hRule="atLeast"/>
          <w:jc w:val="center"/>
        </w:trPr>
        <w:tc>
          <w:tcPr>
            <w:tcW w:w="811" w:type="dxa"/>
            <w:vMerge w:val="continue"/>
            <w:vAlign w:val="center"/>
          </w:tcPr>
          <w:p/>
        </w:tc>
        <w:tc>
          <w:tcPr>
            <w:tcW w:w="10269" w:type="dxa"/>
            <w:gridSpan w:val="9"/>
            <w:tcBorders>
              <w:top w:val="nil"/>
            </w:tcBorders>
            <w:vAlign w:val="center"/>
          </w:tcPr>
          <w:p>
            <w:pPr>
              <w:spacing w:line="360" w:lineRule="exact"/>
              <w:jc w:val="left"/>
              <w:rPr>
                <w:sz w:val="24"/>
                <w:szCs w:val="24"/>
              </w:rPr>
            </w:pPr>
            <w:r>
              <w:rPr>
                <w:rFonts w:hint="eastAsia"/>
                <w:sz w:val="24"/>
                <w:szCs w:val="24"/>
              </w:rPr>
              <w:t>是否存在排斥潜在投标人条款：□是□否</w:t>
            </w:r>
          </w:p>
          <w:p>
            <w:pPr>
              <w:spacing w:line="360" w:lineRule="exact"/>
              <w:jc w:val="left"/>
              <w:rPr>
                <w:sz w:val="24"/>
                <w:szCs w:val="24"/>
              </w:rPr>
            </w:pPr>
            <w:r>
              <w:rPr>
                <w:rFonts w:hint="eastAsia"/>
                <w:sz w:val="24"/>
                <w:szCs w:val="24"/>
              </w:rPr>
              <w:t>（□企业注册地  □过高资质要求  □特定地域业绩及奖项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811" w:type="dxa"/>
            <w:vMerge w:val="restart"/>
            <w:vAlign w:val="center"/>
          </w:tcPr>
          <w:p>
            <w:pPr>
              <w:jc w:val="center"/>
              <w:rPr>
                <w:rFonts w:ascii="黑体" w:eastAsia="黑体"/>
                <w:sz w:val="24"/>
                <w:szCs w:val="24"/>
              </w:rPr>
            </w:pPr>
            <w:r>
              <w:rPr>
                <w:rFonts w:hint="eastAsia" w:ascii="黑体" w:eastAsia="黑体"/>
                <w:sz w:val="24"/>
                <w:szCs w:val="24"/>
              </w:rPr>
              <w:t>招标文件</w:t>
            </w:r>
          </w:p>
        </w:tc>
        <w:tc>
          <w:tcPr>
            <w:tcW w:w="10269" w:type="dxa"/>
            <w:gridSpan w:val="9"/>
            <w:vAlign w:val="center"/>
          </w:tcPr>
          <w:p>
            <w:pPr>
              <w:spacing w:line="360" w:lineRule="exact"/>
              <w:jc w:val="left"/>
              <w:rPr>
                <w:sz w:val="24"/>
                <w:szCs w:val="24"/>
              </w:rPr>
            </w:pPr>
            <w:r>
              <w:rPr>
                <w:rFonts w:hint="eastAsia"/>
                <w:sz w:val="24"/>
                <w:szCs w:val="24"/>
              </w:rPr>
              <w:t>使用的标准文本：□区招标文件范本   □柳州市招标文件范本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811" w:type="dxa"/>
            <w:vMerge w:val="continue"/>
            <w:vAlign w:val="center"/>
          </w:tcPr>
          <w:p/>
        </w:tc>
        <w:tc>
          <w:tcPr>
            <w:tcW w:w="6240" w:type="dxa"/>
            <w:gridSpan w:val="7"/>
            <w:vAlign w:val="center"/>
          </w:tcPr>
          <w:p>
            <w:pPr>
              <w:spacing w:line="360" w:lineRule="exact"/>
              <w:jc w:val="left"/>
              <w:rPr>
                <w:sz w:val="24"/>
                <w:szCs w:val="24"/>
              </w:rPr>
            </w:pPr>
            <w:r>
              <w:rPr>
                <w:rFonts w:hint="eastAsia"/>
                <w:sz w:val="24"/>
                <w:szCs w:val="24"/>
              </w:rPr>
              <w:t>标准文件使用情况： □完全使用  □部分使用  □不使用</w:t>
            </w:r>
          </w:p>
        </w:tc>
        <w:tc>
          <w:tcPr>
            <w:tcW w:w="4029" w:type="dxa"/>
            <w:gridSpan w:val="2"/>
            <w:vAlign w:val="center"/>
          </w:tcPr>
          <w:p>
            <w:pPr>
              <w:spacing w:line="360" w:lineRule="exact"/>
              <w:jc w:val="left"/>
              <w:rPr>
                <w:sz w:val="24"/>
                <w:szCs w:val="24"/>
              </w:rPr>
            </w:pPr>
            <w:r>
              <w:rPr>
                <w:rFonts w:hint="eastAsia"/>
                <w:sz w:val="24"/>
                <w:szCs w:val="24"/>
              </w:rPr>
              <w:t>评标办法是否合理： □是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811" w:type="dxa"/>
            <w:vMerge w:val="continue"/>
            <w:vAlign w:val="center"/>
          </w:tcPr>
          <w:p/>
        </w:tc>
        <w:tc>
          <w:tcPr>
            <w:tcW w:w="6240" w:type="dxa"/>
            <w:gridSpan w:val="7"/>
            <w:vAlign w:val="center"/>
          </w:tcPr>
          <w:p>
            <w:pPr>
              <w:spacing w:line="360" w:lineRule="exact"/>
              <w:rPr>
                <w:sz w:val="24"/>
                <w:szCs w:val="24"/>
              </w:rPr>
            </w:pPr>
            <w:r>
              <w:rPr>
                <w:sz w:val="24"/>
                <w:szCs w:val="24"/>
              </w:rPr>
              <w:t>投标保证金收取额度是否</w:t>
            </w:r>
            <w:r>
              <w:rPr>
                <w:rFonts w:hint="eastAsia"/>
                <w:sz w:val="24"/>
                <w:szCs w:val="24"/>
              </w:rPr>
              <w:t>超过2%或超过50万：</w:t>
            </w:r>
            <w:r>
              <w:rPr>
                <w:sz w:val="24"/>
                <w:szCs w:val="24"/>
              </w:rPr>
              <w:sym w:font="Wingdings 2" w:char="00A3"/>
            </w:r>
            <w:r>
              <w:rPr>
                <w:sz w:val="24"/>
                <w:szCs w:val="24"/>
              </w:rPr>
              <w:t>是</w:t>
            </w:r>
            <w:r>
              <w:rPr>
                <w:rFonts w:hint="eastAsia"/>
                <w:sz w:val="24"/>
                <w:szCs w:val="24"/>
              </w:rPr>
              <w:t xml:space="preserve"> □</w:t>
            </w:r>
            <w:r>
              <w:rPr>
                <w:sz w:val="24"/>
                <w:szCs w:val="24"/>
              </w:rPr>
              <w:t>否</w:t>
            </w:r>
          </w:p>
        </w:tc>
        <w:tc>
          <w:tcPr>
            <w:tcW w:w="4029" w:type="dxa"/>
            <w:gridSpan w:val="2"/>
            <w:vAlign w:val="center"/>
          </w:tcPr>
          <w:p>
            <w:pPr>
              <w:spacing w:line="360" w:lineRule="exact"/>
              <w:rPr>
                <w:sz w:val="24"/>
                <w:szCs w:val="24"/>
              </w:rPr>
            </w:pPr>
            <w:r>
              <w:rPr>
                <w:rFonts w:hint="eastAsia"/>
                <w:sz w:val="24"/>
                <w:szCs w:val="24"/>
              </w:rPr>
              <w:t>投标保证金是否接受保函：□是□否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811" w:type="dxa"/>
            <w:vMerge w:val="continue"/>
            <w:vAlign w:val="center"/>
          </w:tcPr>
          <w:p/>
        </w:tc>
        <w:tc>
          <w:tcPr>
            <w:tcW w:w="6240" w:type="dxa"/>
            <w:gridSpan w:val="7"/>
            <w:vAlign w:val="center"/>
          </w:tcPr>
          <w:p>
            <w:pPr>
              <w:spacing w:line="360" w:lineRule="exact"/>
              <w:rPr>
                <w:sz w:val="24"/>
                <w:szCs w:val="24"/>
              </w:rPr>
            </w:pPr>
            <w:r>
              <w:rPr>
                <w:rFonts w:hint="eastAsia"/>
                <w:sz w:val="24"/>
                <w:szCs w:val="24"/>
              </w:rPr>
              <w:t>履约保证金收取额度是否超过10%：□是    □否</w:t>
            </w:r>
          </w:p>
        </w:tc>
        <w:tc>
          <w:tcPr>
            <w:tcW w:w="4029" w:type="dxa"/>
            <w:gridSpan w:val="2"/>
            <w:vAlign w:val="center"/>
          </w:tcPr>
          <w:p>
            <w:pPr>
              <w:spacing w:line="360" w:lineRule="exact"/>
              <w:rPr>
                <w:sz w:val="24"/>
                <w:szCs w:val="24"/>
              </w:rPr>
            </w:pPr>
            <w:r>
              <w:rPr>
                <w:rFonts w:hint="eastAsia"/>
                <w:sz w:val="24"/>
                <w:szCs w:val="24"/>
              </w:rPr>
              <w:t>履约保证金是否接受保函：□是□否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811" w:type="dxa"/>
            <w:vMerge w:val="continue"/>
            <w:vAlign w:val="center"/>
          </w:tcPr>
          <w:p/>
        </w:tc>
        <w:tc>
          <w:tcPr>
            <w:tcW w:w="6240" w:type="dxa"/>
            <w:gridSpan w:val="7"/>
            <w:vAlign w:val="center"/>
          </w:tcPr>
          <w:p>
            <w:pPr>
              <w:spacing w:line="360" w:lineRule="exact"/>
              <w:rPr>
                <w:sz w:val="24"/>
                <w:szCs w:val="24"/>
              </w:rPr>
            </w:pPr>
            <w:r>
              <w:rPr>
                <w:rFonts w:hint="eastAsia"/>
                <w:sz w:val="24"/>
                <w:szCs w:val="24"/>
              </w:rPr>
              <w:t xml:space="preserve">质量保证金是否超过3%： □是  □否 </w:t>
            </w:r>
          </w:p>
        </w:tc>
        <w:tc>
          <w:tcPr>
            <w:tcW w:w="4029" w:type="dxa"/>
            <w:gridSpan w:val="2"/>
            <w:vAlign w:val="center"/>
          </w:tcPr>
          <w:p>
            <w:pPr>
              <w:spacing w:line="360" w:lineRule="exact"/>
              <w:rPr>
                <w:sz w:val="24"/>
                <w:szCs w:val="24"/>
              </w:rPr>
            </w:pPr>
            <w:r>
              <w:rPr>
                <w:rFonts w:hint="eastAsia"/>
                <w:sz w:val="24"/>
                <w:szCs w:val="24"/>
              </w:rPr>
              <w:t>质量保证金是否接受保函：</w:t>
            </w:r>
            <w:r>
              <w:rPr>
                <w:sz w:val="24"/>
                <w:szCs w:val="24"/>
              </w:rPr>
              <w:sym w:font="Wingdings 2" w:char="00A3"/>
            </w:r>
            <w:r>
              <w:rPr>
                <w:rFonts w:hint="eastAsia"/>
                <w:sz w:val="24"/>
                <w:szCs w:val="24"/>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811" w:type="dxa"/>
            <w:vMerge w:val="continue"/>
            <w:vAlign w:val="center"/>
          </w:tcPr>
          <w:p/>
        </w:tc>
        <w:tc>
          <w:tcPr>
            <w:tcW w:w="4630" w:type="dxa"/>
            <w:gridSpan w:val="4"/>
            <w:vAlign w:val="center"/>
          </w:tcPr>
          <w:p>
            <w:pPr>
              <w:spacing w:line="360" w:lineRule="exact"/>
              <w:rPr>
                <w:sz w:val="24"/>
                <w:szCs w:val="24"/>
              </w:rPr>
            </w:pPr>
            <w:r>
              <w:rPr>
                <w:rFonts w:hint="eastAsia"/>
                <w:sz w:val="24"/>
                <w:szCs w:val="24"/>
              </w:rPr>
              <w:t>招标文件、招标控制价是否加盖公章：</w:t>
            </w:r>
          </w:p>
          <w:p>
            <w:pPr>
              <w:spacing w:line="360" w:lineRule="exact"/>
              <w:rPr>
                <w:sz w:val="24"/>
                <w:szCs w:val="24"/>
              </w:rPr>
            </w:pPr>
            <w:r>
              <w:rPr>
                <w:rFonts w:hint="eastAsia"/>
                <w:sz w:val="24"/>
                <w:szCs w:val="24"/>
              </w:rPr>
              <w:t>□</w:t>
            </w:r>
            <w:r>
              <w:rPr>
                <w:sz w:val="24"/>
                <w:szCs w:val="24"/>
              </w:rPr>
              <w:t>是</w:t>
            </w:r>
            <w:r>
              <w:rPr>
                <w:rFonts w:hint="eastAsia"/>
                <w:sz w:val="24"/>
                <w:szCs w:val="24"/>
              </w:rPr>
              <w:t xml:space="preserve">  □</w:t>
            </w:r>
            <w:r>
              <w:rPr>
                <w:sz w:val="24"/>
                <w:szCs w:val="24"/>
              </w:rPr>
              <w:t>否</w:t>
            </w:r>
          </w:p>
        </w:tc>
        <w:tc>
          <w:tcPr>
            <w:tcW w:w="5639" w:type="dxa"/>
            <w:gridSpan w:val="5"/>
            <w:vAlign w:val="center"/>
          </w:tcPr>
          <w:p>
            <w:pPr>
              <w:spacing w:line="360" w:lineRule="exact"/>
              <w:rPr>
                <w:sz w:val="24"/>
                <w:szCs w:val="24"/>
              </w:rPr>
            </w:pPr>
            <w:r>
              <w:rPr>
                <w:rFonts w:hint="eastAsia"/>
                <w:sz w:val="24"/>
                <w:szCs w:val="24"/>
              </w:rPr>
              <w:t>招标控制价是否加盖注册造价工程师执业章：</w:t>
            </w:r>
          </w:p>
          <w:p>
            <w:pPr>
              <w:spacing w:line="360" w:lineRule="exact"/>
              <w:rPr>
                <w:sz w:val="24"/>
                <w:szCs w:val="24"/>
              </w:rPr>
            </w:pPr>
            <w:r>
              <w:rPr>
                <w:rFonts w:hint="eastAsia"/>
                <w:sz w:val="24"/>
                <w:szCs w:val="24"/>
              </w:rPr>
              <w:t>□</w:t>
            </w:r>
            <w:r>
              <w:rPr>
                <w:sz w:val="24"/>
                <w:szCs w:val="24"/>
              </w:rPr>
              <w:t>是</w:t>
            </w:r>
            <w:r>
              <w:rPr>
                <w:rFonts w:hint="eastAsia"/>
                <w:sz w:val="24"/>
                <w:szCs w:val="24"/>
              </w:rPr>
              <w:t>□</w:t>
            </w:r>
            <w:r>
              <w:rPr>
                <w:sz w:val="24"/>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811" w:type="dxa"/>
            <w:vMerge w:val="continue"/>
            <w:vAlign w:val="center"/>
          </w:tcPr>
          <w:p/>
        </w:tc>
        <w:tc>
          <w:tcPr>
            <w:tcW w:w="10269" w:type="dxa"/>
            <w:gridSpan w:val="9"/>
            <w:vAlign w:val="center"/>
          </w:tcPr>
          <w:p>
            <w:pPr>
              <w:spacing w:line="360" w:lineRule="exact"/>
              <w:rPr>
                <w:sz w:val="24"/>
                <w:szCs w:val="24"/>
              </w:rPr>
            </w:pPr>
            <w:r>
              <w:rPr>
                <w:rFonts w:hint="eastAsia"/>
                <w:sz w:val="24"/>
                <w:szCs w:val="24"/>
              </w:rPr>
              <w:t>工程总承包项目招标文件是否明确招标需求（包括明确建设规模和建设标准）：□是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811" w:type="dxa"/>
            <w:vMerge w:val="continue"/>
            <w:vAlign w:val="center"/>
          </w:tcPr>
          <w:p/>
        </w:tc>
        <w:tc>
          <w:tcPr>
            <w:tcW w:w="10269" w:type="dxa"/>
            <w:gridSpan w:val="9"/>
            <w:vAlign w:val="center"/>
          </w:tcPr>
          <w:p>
            <w:pPr>
              <w:spacing w:line="360" w:lineRule="exact"/>
              <w:rPr>
                <w:sz w:val="24"/>
                <w:szCs w:val="24"/>
              </w:rPr>
            </w:pPr>
            <w:r>
              <w:rPr>
                <w:rFonts w:hint="eastAsia"/>
                <w:sz w:val="24"/>
                <w:szCs w:val="24"/>
              </w:rPr>
              <w:t>是否存在设定明显超出招标项目具体特点和实际需要的过高的资质资格、技术、商务条件或者业绩、奖项要求等问题：□是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811" w:type="dxa"/>
            <w:vMerge w:val="continue"/>
            <w:vAlign w:val="center"/>
          </w:tcPr>
          <w:p/>
        </w:tc>
        <w:tc>
          <w:tcPr>
            <w:tcW w:w="10269" w:type="dxa"/>
            <w:gridSpan w:val="9"/>
            <w:vAlign w:val="center"/>
          </w:tcPr>
          <w:p>
            <w:pPr>
              <w:spacing w:line="360" w:lineRule="exact"/>
              <w:rPr>
                <w:sz w:val="24"/>
                <w:szCs w:val="24"/>
              </w:rPr>
            </w:pPr>
            <w:r>
              <w:rPr>
                <w:rFonts w:hint="eastAsia"/>
                <w:sz w:val="24"/>
                <w:szCs w:val="24"/>
              </w:rPr>
              <w:t>是否违法将国家已经明令取消的资质资格作为投标条件、加分条件、中标条件；在国家已经明令取消资质资格的领域，将其他资质资格作为投标条件、加分条件、中标条件：□是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11" w:type="dxa"/>
            <w:vMerge w:val="restart"/>
            <w:vAlign w:val="center"/>
          </w:tcPr>
          <w:p>
            <w:pPr>
              <w:jc w:val="center"/>
              <w:rPr>
                <w:rFonts w:ascii="黑体" w:eastAsia="黑体"/>
                <w:sz w:val="24"/>
                <w:szCs w:val="24"/>
              </w:rPr>
            </w:pPr>
            <w:r>
              <w:rPr>
                <w:rFonts w:hint="eastAsia" w:ascii="黑体" w:eastAsia="黑体"/>
                <w:sz w:val="24"/>
                <w:szCs w:val="24"/>
              </w:rPr>
              <w:t>开标评标</w:t>
            </w:r>
          </w:p>
        </w:tc>
        <w:tc>
          <w:tcPr>
            <w:tcW w:w="4648" w:type="dxa"/>
            <w:gridSpan w:val="5"/>
            <w:vAlign w:val="center"/>
          </w:tcPr>
          <w:p>
            <w:pPr>
              <w:spacing w:line="360" w:lineRule="exact"/>
              <w:rPr>
                <w:sz w:val="24"/>
                <w:szCs w:val="24"/>
              </w:rPr>
            </w:pPr>
            <w:r>
              <w:rPr>
                <w:rFonts w:hint="eastAsia"/>
                <w:sz w:val="24"/>
                <w:szCs w:val="24"/>
              </w:rPr>
              <w:t>是否采用电子招投标：□是  □否</w:t>
            </w:r>
          </w:p>
        </w:tc>
        <w:tc>
          <w:tcPr>
            <w:tcW w:w="5621" w:type="dxa"/>
            <w:gridSpan w:val="4"/>
            <w:vAlign w:val="center"/>
          </w:tcPr>
          <w:p>
            <w:pPr>
              <w:spacing w:line="360" w:lineRule="exact"/>
              <w:rPr>
                <w:sz w:val="24"/>
                <w:szCs w:val="24"/>
              </w:rPr>
            </w:pPr>
            <w:r>
              <w:rPr>
                <w:rFonts w:hint="eastAsia"/>
                <w:sz w:val="24"/>
                <w:szCs w:val="24"/>
              </w:rPr>
              <w:t>是否进入公共资源交易中心集中交易：□是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11" w:type="dxa"/>
            <w:vMerge w:val="continue"/>
            <w:vAlign w:val="center"/>
          </w:tcPr>
          <w:p/>
        </w:tc>
        <w:tc>
          <w:tcPr>
            <w:tcW w:w="10269" w:type="dxa"/>
            <w:gridSpan w:val="9"/>
            <w:vAlign w:val="center"/>
          </w:tcPr>
          <w:p>
            <w:pPr>
              <w:spacing w:line="360" w:lineRule="exact"/>
              <w:rPr>
                <w:sz w:val="24"/>
                <w:szCs w:val="24"/>
              </w:rPr>
            </w:pPr>
            <w:r>
              <w:rPr>
                <w:rFonts w:hint="eastAsia"/>
                <w:sz w:val="24"/>
                <w:szCs w:val="24"/>
              </w:rPr>
              <w:t>□施工总承包项目：</w:t>
            </w:r>
          </w:p>
          <w:p>
            <w:pPr>
              <w:spacing w:line="360" w:lineRule="exact"/>
              <w:rPr>
                <w:sz w:val="24"/>
                <w:szCs w:val="24"/>
              </w:rPr>
            </w:pPr>
            <w:r>
              <w:rPr>
                <w:rFonts w:hint="eastAsia"/>
                <w:sz w:val="24"/>
                <w:szCs w:val="24"/>
              </w:rPr>
              <w:t>招标文件开始发出之日起至投标人提交投标文件截止之日止，是否少于20日： □</w:t>
            </w:r>
            <w:r>
              <w:rPr>
                <w:sz w:val="24"/>
                <w:szCs w:val="24"/>
              </w:rPr>
              <w:t>是</w:t>
            </w:r>
            <w:r>
              <w:rPr>
                <w:rFonts w:hint="eastAsia"/>
                <w:sz w:val="24"/>
                <w:szCs w:val="24"/>
              </w:rPr>
              <w:t xml:space="preserve">    □</w:t>
            </w:r>
            <w:r>
              <w:rPr>
                <w:sz w:val="24"/>
                <w:szCs w:val="24"/>
              </w:rPr>
              <w:t>否</w:t>
            </w:r>
          </w:p>
          <w:p>
            <w:pPr>
              <w:spacing w:line="360" w:lineRule="exact"/>
              <w:rPr>
                <w:sz w:val="24"/>
                <w:szCs w:val="24"/>
              </w:rPr>
            </w:pPr>
            <w:r>
              <w:rPr>
                <w:rFonts w:hint="eastAsia"/>
                <w:sz w:val="24"/>
                <w:szCs w:val="24"/>
              </w:rPr>
              <w:t>□工程总承包项目：</w:t>
            </w:r>
          </w:p>
          <w:p>
            <w:pPr>
              <w:spacing w:line="360" w:lineRule="exact"/>
              <w:rPr>
                <w:sz w:val="24"/>
                <w:szCs w:val="24"/>
              </w:rPr>
            </w:pPr>
            <w:r>
              <w:rPr>
                <w:rFonts w:hint="eastAsia"/>
                <w:sz w:val="24"/>
                <w:szCs w:val="24"/>
              </w:rPr>
              <w:t>在可行性研究报告完成后方案设计完成前进行招标的，招标文件开始发出之日起至投标人提交投标文件截止之日至，是否少于25日：□是  □否</w:t>
            </w:r>
          </w:p>
          <w:p>
            <w:pPr>
              <w:spacing w:line="360" w:lineRule="exact"/>
              <w:rPr>
                <w:sz w:val="24"/>
                <w:szCs w:val="24"/>
              </w:rPr>
            </w:pPr>
            <w:r>
              <w:rPr>
                <w:rFonts w:hint="eastAsia"/>
                <w:sz w:val="24"/>
                <w:szCs w:val="24"/>
              </w:rPr>
              <w:t>在方案设计完成后开始进行招标的，招标文件开始发出之日起至投标人提交投标文件截止之日至，是否少于30日：□是  □否</w:t>
            </w:r>
          </w:p>
          <w:p>
            <w:pPr>
              <w:spacing w:line="360" w:lineRule="exac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11" w:type="dxa"/>
            <w:vMerge w:val="continue"/>
            <w:vAlign w:val="center"/>
          </w:tcPr>
          <w:p/>
        </w:tc>
        <w:tc>
          <w:tcPr>
            <w:tcW w:w="1807" w:type="dxa"/>
            <w:vAlign w:val="center"/>
          </w:tcPr>
          <w:p>
            <w:pPr>
              <w:spacing w:line="360" w:lineRule="exact"/>
              <w:jc w:val="center"/>
              <w:rPr>
                <w:sz w:val="24"/>
                <w:szCs w:val="24"/>
              </w:rPr>
            </w:pPr>
            <w:r>
              <w:rPr>
                <w:sz w:val="24"/>
                <w:szCs w:val="24"/>
              </w:rPr>
              <w:t>开标评标地点</w:t>
            </w:r>
          </w:p>
        </w:tc>
        <w:tc>
          <w:tcPr>
            <w:tcW w:w="2841" w:type="dxa"/>
            <w:gridSpan w:val="4"/>
            <w:vAlign w:val="center"/>
          </w:tcPr>
          <w:p>
            <w:pPr>
              <w:spacing w:line="360" w:lineRule="exact"/>
              <w:jc w:val="right"/>
              <w:rPr>
                <w:sz w:val="24"/>
                <w:szCs w:val="24"/>
              </w:rPr>
            </w:pPr>
          </w:p>
        </w:tc>
        <w:tc>
          <w:tcPr>
            <w:tcW w:w="5621" w:type="dxa"/>
            <w:gridSpan w:val="4"/>
            <w:vAlign w:val="center"/>
          </w:tcPr>
          <w:p>
            <w:pPr>
              <w:spacing w:line="360" w:lineRule="exact"/>
              <w:ind w:firstLine="240" w:firstLineChars="100"/>
              <w:rPr>
                <w:sz w:val="24"/>
                <w:szCs w:val="24"/>
              </w:rPr>
            </w:pPr>
            <w:r>
              <w:rPr>
                <w:rFonts w:hint="eastAsia"/>
                <w:sz w:val="24"/>
                <w:szCs w:val="24"/>
              </w:rPr>
              <w:t>开标时是否刷卡：  □</w:t>
            </w:r>
            <w:r>
              <w:rPr>
                <w:sz w:val="24"/>
                <w:szCs w:val="24"/>
              </w:rPr>
              <w:t>是</w:t>
            </w:r>
            <w:r>
              <w:rPr>
                <w:rFonts w:hint="eastAsia"/>
                <w:sz w:val="24"/>
                <w:szCs w:val="24"/>
              </w:rPr>
              <w:t xml:space="preserve">    □</w:t>
            </w:r>
            <w:r>
              <w:rPr>
                <w:sz w:val="24"/>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811" w:type="dxa"/>
            <w:vMerge w:val="continue"/>
            <w:vAlign w:val="center"/>
          </w:tcPr>
          <w:p/>
        </w:tc>
        <w:tc>
          <w:tcPr>
            <w:tcW w:w="1807" w:type="dxa"/>
            <w:vAlign w:val="center"/>
          </w:tcPr>
          <w:p>
            <w:pPr>
              <w:spacing w:line="280" w:lineRule="exact"/>
              <w:jc w:val="center"/>
              <w:rPr>
                <w:sz w:val="24"/>
                <w:szCs w:val="24"/>
              </w:rPr>
            </w:pPr>
            <w:r>
              <w:rPr>
                <w:rFonts w:hint="eastAsia"/>
                <w:sz w:val="24"/>
                <w:szCs w:val="24"/>
              </w:rPr>
              <w:t>招标代理是否入诚信库上岗</w:t>
            </w:r>
          </w:p>
        </w:tc>
        <w:tc>
          <w:tcPr>
            <w:tcW w:w="8462" w:type="dxa"/>
            <w:gridSpan w:val="8"/>
            <w:vAlign w:val="center"/>
          </w:tcPr>
          <w:p>
            <w:pPr>
              <w:spacing w:line="360" w:lineRule="exact"/>
              <w:ind w:firstLine="240" w:firstLineChars="100"/>
              <w:rPr>
                <w:sz w:val="24"/>
                <w:szCs w:val="24"/>
              </w:rPr>
            </w:pPr>
            <w:r>
              <w:rPr>
                <w:rFonts w:hint="eastAsia"/>
                <w:sz w:val="24"/>
                <w:szCs w:val="24"/>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811" w:type="dxa"/>
            <w:vMerge w:val="continue"/>
            <w:vAlign w:val="center"/>
          </w:tcPr>
          <w:p/>
        </w:tc>
        <w:tc>
          <w:tcPr>
            <w:tcW w:w="1807" w:type="dxa"/>
            <w:vMerge w:val="restart"/>
            <w:vAlign w:val="center"/>
          </w:tcPr>
          <w:p>
            <w:pPr>
              <w:spacing w:line="360" w:lineRule="exact"/>
              <w:jc w:val="center"/>
              <w:rPr>
                <w:sz w:val="24"/>
                <w:szCs w:val="24"/>
              </w:rPr>
            </w:pPr>
            <w:r>
              <w:rPr>
                <w:sz w:val="24"/>
                <w:szCs w:val="24"/>
              </w:rPr>
              <w:t>评标委员会</w:t>
            </w:r>
          </w:p>
        </w:tc>
        <w:tc>
          <w:tcPr>
            <w:tcW w:w="2841" w:type="dxa"/>
            <w:gridSpan w:val="4"/>
            <w:vAlign w:val="center"/>
          </w:tcPr>
          <w:p>
            <w:pPr>
              <w:spacing w:line="360" w:lineRule="exact"/>
              <w:rPr>
                <w:sz w:val="24"/>
                <w:szCs w:val="24"/>
              </w:rPr>
            </w:pPr>
            <w:r>
              <w:rPr>
                <w:rFonts w:hint="eastAsia"/>
                <w:sz w:val="24"/>
                <w:szCs w:val="24"/>
              </w:rPr>
              <w:t>抽取方式：□语音□人工</w:t>
            </w:r>
          </w:p>
        </w:tc>
        <w:tc>
          <w:tcPr>
            <w:tcW w:w="5621" w:type="dxa"/>
            <w:gridSpan w:val="4"/>
            <w:vAlign w:val="center"/>
          </w:tcPr>
          <w:p>
            <w:pPr>
              <w:spacing w:line="360" w:lineRule="exact"/>
              <w:rPr>
                <w:sz w:val="24"/>
                <w:szCs w:val="24"/>
              </w:rPr>
            </w:pPr>
            <w:r>
              <w:rPr>
                <w:sz w:val="24"/>
                <w:szCs w:val="24"/>
              </w:rPr>
              <w:t>抽取地点：</w:t>
            </w:r>
            <w:r>
              <w:rPr>
                <w:rFonts w:hint="eastAsia"/>
                <w:sz w:val="24"/>
                <w:szCs w:val="24"/>
              </w:rPr>
              <w:t>□</w:t>
            </w:r>
            <w:r>
              <w:rPr>
                <w:sz w:val="24"/>
                <w:szCs w:val="24"/>
              </w:rPr>
              <w:t xml:space="preserve">交易中心  </w:t>
            </w:r>
            <w:r>
              <w:rPr>
                <w:rFonts w:hint="eastAsia"/>
                <w:sz w:val="24"/>
                <w:szCs w:val="24"/>
              </w:rPr>
              <w:t>□</w:t>
            </w:r>
            <w:r>
              <w:rPr>
                <w:sz w:val="24"/>
                <w:szCs w:val="24"/>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811" w:type="dxa"/>
            <w:vMerge w:val="continue"/>
            <w:vAlign w:val="center"/>
          </w:tcPr>
          <w:p/>
        </w:tc>
        <w:tc>
          <w:tcPr>
            <w:tcW w:w="1807" w:type="dxa"/>
            <w:vMerge w:val="continue"/>
            <w:vAlign w:val="center"/>
          </w:tcPr>
          <w:p/>
        </w:tc>
        <w:tc>
          <w:tcPr>
            <w:tcW w:w="8462" w:type="dxa"/>
            <w:gridSpan w:val="8"/>
            <w:vAlign w:val="center"/>
          </w:tcPr>
          <w:p>
            <w:pPr>
              <w:spacing w:line="360" w:lineRule="exact"/>
              <w:rPr>
                <w:sz w:val="24"/>
                <w:szCs w:val="24"/>
              </w:rPr>
            </w:pPr>
            <w:r>
              <w:rPr>
                <w:rFonts w:hint="eastAsia"/>
                <w:sz w:val="24"/>
                <w:szCs w:val="24"/>
              </w:rPr>
              <w:t>□施工总承包项目</w:t>
            </w:r>
          </w:p>
          <w:p>
            <w:pPr>
              <w:spacing w:line="360" w:lineRule="exact"/>
              <w:rPr>
                <w:sz w:val="24"/>
                <w:szCs w:val="24"/>
              </w:rPr>
            </w:pPr>
            <w:r>
              <w:rPr>
                <w:sz w:val="24"/>
                <w:szCs w:val="24"/>
              </w:rPr>
              <w:t>人员组成：</w:t>
            </w:r>
            <w:r>
              <w:rPr>
                <w:rFonts w:hint="eastAsia"/>
                <w:sz w:val="24"/>
                <w:szCs w:val="24"/>
              </w:rPr>
              <w:t>评标委员会总人数</w:t>
            </w:r>
            <w:r>
              <w:rPr>
                <w:sz w:val="24"/>
                <w:szCs w:val="24"/>
              </w:rPr>
              <w:t>人，</w:t>
            </w:r>
            <w:r>
              <w:rPr>
                <w:rFonts w:hint="eastAsia"/>
                <w:sz w:val="24"/>
                <w:szCs w:val="24"/>
              </w:rPr>
              <w:t>其中招标人</w:t>
            </w:r>
            <w:r>
              <w:rPr>
                <w:sz w:val="24"/>
                <w:szCs w:val="24"/>
              </w:rPr>
              <w:t>代表人，</w:t>
            </w:r>
            <w:r>
              <w:rPr>
                <w:rFonts w:hint="eastAsia"/>
                <w:sz w:val="24"/>
                <w:szCs w:val="24"/>
              </w:rPr>
              <w:t>技术</w:t>
            </w:r>
            <w:r>
              <w:rPr>
                <w:sz w:val="24"/>
                <w:szCs w:val="24"/>
              </w:rPr>
              <w:t>专家人，</w:t>
            </w:r>
            <w:r>
              <w:rPr>
                <w:rFonts w:hint="eastAsia"/>
                <w:sz w:val="24"/>
                <w:szCs w:val="24"/>
              </w:rPr>
              <w:t>经济专家人。</w:t>
            </w:r>
          </w:p>
          <w:p>
            <w:pPr>
              <w:spacing w:line="360" w:lineRule="exact"/>
              <w:rPr>
                <w:sz w:val="24"/>
                <w:szCs w:val="24"/>
              </w:rPr>
            </w:pPr>
            <w:r>
              <w:rPr>
                <w:rFonts w:hint="eastAsia"/>
                <w:sz w:val="24"/>
                <w:szCs w:val="24"/>
              </w:rPr>
              <w:t>随机抽取的技术、经济专家合计人数是否超过成员总数三分之二：□</w:t>
            </w:r>
            <w:r>
              <w:rPr>
                <w:sz w:val="24"/>
                <w:szCs w:val="24"/>
              </w:rPr>
              <w:t>是</w:t>
            </w:r>
            <w:r>
              <w:rPr>
                <w:rFonts w:hint="eastAsia"/>
                <w:sz w:val="24"/>
                <w:szCs w:val="24"/>
              </w:rPr>
              <w:t xml:space="preserve"> □</w:t>
            </w:r>
            <w:r>
              <w:rPr>
                <w:sz w:val="24"/>
                <w:szCs w:val="24"/>
              </w:rPr>
              <w:t>否</w:t>
            </w:r>
          </w:p>
          <w:p>
            <w:pPr>
              <w:spacing w:line="360" w:lineRule="exact"/>
              <w:rPr>
                <w:sz w:val="24"/>
                <w:szCs w:val="24"/>
              </w:rPr>
            </w:pPr>
            <w:r>
              <w:rPr>
                <w:rFonts w:hint="eastAsia"/>
                <w:sz w:val="24"/>
                <w:szCs w:val="24"/>
              </w:rPr>
              <w:t>采用清单计价的施工招标，经济专家是否超过成员总数的二分之一：□</w:t>
            </w:r>
            <w:r>
              <w:rPr>
                <w:sz w:val="24"/>
                <w:szCs w:val="24"/>
              </w:rPr>
              <w:t>是</w:t>
            </w:r>
            <w:r>
              <w:rPr>
                <w:rFonts w:hint="eastAsia"/>
                <w:sz w:val="24"/>
                <w:szCs w:val="24"/>
              </w:rPr>
              <w:t xml:space="preserve"> □</w:t>
            </w:r>
            <w:r>
              <w:rPr>
                <w:sz w:val="24"/>
                <w:szCs w:val="24"/>
              </w:rPr>
              <w:t>否</w:t>
            </w:r>
          </w:p>
          <w:p>
            <w:pPr>
              <w:spacing w:line="360" w:lineRule="exact"/>
              <w:rPr>
                <w:sz w:val="24"/>
                <w:szCs w:val="24"/>
              </w:rPr>
            </w:pPr>
            <w:r>
              <w:rPr>
                <w:rFonts w:hint="eastAsia"/>
                <w:sz w:val="24"/>
                <w:szCs w:val="24"/>
              </w:rPr>
              <w:t>□工程总承包项目</w:t>
            </w:r>
          </w:p>
          <w:p>
            <w:pPr>
              <w:spacing w:line="360" w:lineRule="exact"/>
              <w:rPr>
                <w:sz w:val="24"/>
                <w:szCs w:val="24"/>
              </w:rPr>
            </w:pPr>
            <w:r>
              <w:rPr>
                <w:rFonts w:hint="eastAsia"/>
                <w:sz w:val="24"/>
                <w:szCs w:val="24"/>
              </w:rPr>
              <w:t>评标委员会总人数，其中招标人代表人，建筑人，总平规划人，</w:t>
            </w:r>
          </w:p>
          <w:p>
            <w:pPr>
              <w:spacing w:line="360" w:lineRule="exact"/>
              <w:rPr>
                <w:sz w:val="24"/>
                <w:szCs w:val="24"/>
              </w:rPr>
            </w:pPr>
            <w:r>
              <w:rPr>
                <w:rFonts w:hint="eastAsia"/>
                <w:sz w:val="24"/>
                <w:szCs w:val="24"/>
              </w:rPr>
              <w:t>施工技术人，经济人，其他人。</w:t>
            </w:r>
          </w:p>
          <w:p>
            <w:pPr>
              <w:spacing w:line="360" w:lineRule="exact"/>
              <w:rPr>
                <w:sz w:val="24"/>
                <w:szCs w:val="24"/>
              </w:rPr>
            </w:pPr>
            <w:r>
              <w:rPr>
                <w:rFonts w:hint="eastAsia"/>
                <w:sz w:val="24"/>
                <w:szCs w:val="24"/>
              </w:rPr>
              <w:t>是否包含设计、施工、经济等方面的专家：□是  □否</w:t>
            </w:r>
          </w:p>
          <w:p>
            <w:pPr>
              <w:spacing w:line="360" w:lineRule="exact"/>
              <w:rPr>
                <w:sz w:val="24"/>
                <w:szCs w:val="24"/>
              </w:rPr>
            </w:pPr>
            <w:r>
              <w:rPr>
                <w:rFonts w:hint="eastAsia"/>
                <w:sz w:val="24"/>
                <w:szCs w:val="24"/>
              </w:rPr>
              <w:t>招标金额为5000万元及以上的，评标委员会是否为9人以上单数：□是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811" w:type="dxa"/>
            <w:vMerge w:val="continue"/>
            <w:vAlign w:val="center"/>
          </w:tcPr>
          <w:p/>
        </w:tc>
        <w:tc>
          <w:tcPr>
            <w:tcW w:w="10269" w:type="dxa"/>
            <w:gridSpan w:val="9"/>
            <w:vAlign w:val="center"/>
          </w:tcPr>
          <w:p>
            <w:pPr>
              <w:spacing w:line="360" w:lineRule="exact"/>
              <w:rPr>
                <w:sz w:val="24"/>
                <w:szCs w:val="24"/>
              </w:rPr>
            </w:pPr>
            <w:r>
              <w:rPr>
                <w:rFonts w:hint="eastAsia"/>
                <w:sz w:val="24"/>
                <w:szCs w:val="24"/>
              </w:rPr>
              <w:t>评标开始前是否与评标专家做好投标文件、开标资料等移交签收手续：□是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811" w:type="dxa"/>
            <w:vMerge w:val="continue"/>
            <w:vAlign w:val="center"/>
          </w:tcPr>
          <w:p/>
        </w:tc>
        <w:tc>
          <w:tcPr>
            <w:tcW w:w="10269" w:type="dxa"/>
            <w:gridSpan w:val="9"/>
            <w:vAlign w:val="center"/>
          </w:tcPr>
          <w:p>
            <w:pPr>
              <w:spacing w:line="360" w:lineRule="exact"/>
              <w:rPr>
                <w:sz w:val="24"/>
                <w:szCs w:val="24"/>
              </w:rPr>
            </w:pPr>
            <w:r>
              <w:rPr>
                <w:rFonts w:hint="eastAsia"/>
                <w:sz w:val="24"/>
                <w:szCs w:val="24"/>
              </w:rPr>
              <w:t>是否存在评标专家打分畸高或畸低，且无法说明正当理由的问题：□是□否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811" w:type="dxa"/>
            <w:vMerge w:val="restart"/>
            <w:vAlign w:val="center"/>
          </w:tcPr>
          <w:p>
            <w:pPr>
              <w:jc w:val="center"/>
              <w:rPr>
                <w:rFonts w:ascii="黑体" w:eastAsia="黑体"/>
                <w:sz w:val="24"/>
                <w:szCs w:val="24"/>
              </w:rPr>
            </w:pPr>
            <w:r>
              <w:rPr>
                <w:rFonts w:hint="eastAsia" w:ascii="黑体" w:eastAsia="黑体"/>
                <w:sz w:val="24"/>
                <w:szCs w:val="24"/>
              </w:rPr>
              <w:t>定标</w:t>
            </w:r>
          </w:p>
        </w:tc>
        <w:tc>
          <w:tcPr>
            <w:tcW w:w="5793" w:type="dxa"/>
            <w:gridSpan w:val="6"/>
            <w:vAlign w:val="center"/>
          </w:tcPr>
          <w:p>
            <w:pPr>
              <w:spacing w:line="360" w:lineRule="exact"/>
              <w:rPr>
                <w:sz w:val="24"/>
                <w:szCs w:val="24"/>
              </w:rPr>
            </w:pPr>
            <w:r>
              <w:rPr>
                <w:rFonts w:hint="eastAsia"/>
                <w:sz w:val="24"/>
                <w:szCs w:val="24"/>
              </w:rPr>
              <w:t xml:space="preserve">是否在收到评标报告之日起3日内公示： </w:t>
            </w:r>
            <w:r>
              <w:rPr>
                <w:sz w:val="24"/>
                <w:szCs w:val="24"/>
              </w:rPr>
              <w:sym w:font="Wingdings 2" w:char="00A3"/>
            </w:r>
            <w:r>
              <w:rPr>
                <w:sz w:val="24"/>
                <w:szCs w:val="24"/>
              </w:rPr>
              <w:t>是</w:t>
            </w:r>
            <w:r>
              <w:rPr>
                <w:rFonts w:hint="eastAsia"/>
                <w:sz w:val="24"/>
                <w:szCs w:val="24"/>
              </w:rPr>
              <w:t>□</w:t>
            </w:r>
            <w:r>
              <w:rPr>
                <w:sz w:val="24"/>
                <w:szCs w:val="24"/>
              </w:rPr>
              <w:t>否</w:t>
            </w:r>
          </w:p>
        </w:tc>
        <w:tc>
          <w:tcPr>
            <w:tcW w:w="4476" w:type="dxa"/>
            <w:gridSpan w:val="3"/>
            <w:vAlign w:val="center"/>
          </w:tcPr>
          <w:p>
            <w:pPr>
              <w:spacing w:line="360" w:lineRule="exact"/>
              <w:rPr>
                <w:sz w:val="24"/>
                <w:szCs w:val="24"/>
              </w:rPr>
            </w:pPr>
            <w:r>
              <w:rPr>
                <w:rFonts w:hint="eastAsia"/>
                <w:sz w:val="24"/>
                <w:szCs w:val="24"/>
              </w:rPr>
              <w:t>公示期是否少于3日：□</w:t>
            </w:r>
            <w:r>
              <w:rPr>
                <w:sz w:val="24"/>
                <w:szCs w:val="24"/>
              </w:rPr>
              <w:t>是</w:t>
            </w:r>
            <w:r>
              <w:rPr>
                <w:rFonts w:hint="eastAsia"/>
                <w:sz w:val="24"/>
                <w:szCs w:val="24"/>
              </w:rPr>
              <w:t xml:space="preserve">    □</w:t>
            </w:r>
            <w:r>
              <w:rPr>
                <w:sz w:val="24"/>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811" w:type="dxa"/>
            <w:vMerge w:val="continue"/>
            <w:vAlign w:val="center"/>
          </w:tcPr>
          <w:p/>
        </w:tc>
        <w:tc>
          <w:tcPr>
            <w:tcW w:w="10269" w:type="dxa"/>
            <w:gridSpan w:val="9"/>
            <w:vAlign w:val="center"/>
          </w:tcPr>
          <w:p>
            <w:pPr>
              <w:spacing w:line="360" w:lineRule="exact"/>
              <w:rPr>
                <w:sz w:val="24"/>
                <w:szCs w:val="24"/>
              </w:rPr>
            </w:pPr>
            <w:r>
              <w:rPr>
                <w:rFonts w:hint="eastAsia"/>
                <w:sz w:val="24"/>
                <w:szCs w:val="24"/>
              </w:rPr>
              <w:t>项目是否按照《关于进一步推进招标投标监管制度改革的通知》（柳建管字[2018]1号）（2018年1月1日起实施）要求公示中标候选人内容：□</w:t>
            </w:r>
            <w:r>
              <w:rPr>
                <w:sz w:val="24"/>
                <w:szCs w:val="24"/>
              </w:rPr>
              <w:t>是</w:t>
            </w:r>
            <w:r>
              <w:rPr>
                <w:rFonts w:hint="eastAsia"/>
                <w:sz w:val="24"/>
                <w:szCs w:val="24"/>
              </w:rPr>
              <w:t xml:space="preserve">    □</w:t>
            </w:r>
            <w:r>
              <w:rPr>
                <w:sz w:val="24"/>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811" w:type="dxa"/>
            <w:vMerge w:val="continue"/>
            <w:vAlign w:val="center"/>
          </w:tcPr>
          <w:p/>
        </w:tc>
        <w:tc>
          <w:tcPr>
            <w:tcW w:w="4526" w:type="dxa"/>
            <w:gridSpan w:val="3"/>
            <w:vAlign w:val="center"/>
          </w:tcPr>
          <w:p>
            <w:pPr>
              <w:spacing w:line="360" w:lineRule="exact"/>
              <w:rPr>
                <w:sz w:val="24"/>
                <w:szCs w:val="24"/>
              </w:rPr>
            </w:pPr>
            <w:r>
              <w:rPr>
                <w:rFonts w:hint="eastAsia"/>
                <w:sz w:val="24"/>
                <w:szCs w:val="24"/>
              </w:rPr>
              <w:t>公示内容是否齐全：  □</w:t>
            </w:r>
            <w:r>
              <w:rPr>
                <w:sz w:val="24"/>
                <w:szCs w:val="24"/>
              </w:rPr>
              <w:t>是</w:t>
            </w:r>
            <w:r>
              <w:rPr>
                <w:rFonts w:hint="eastAsia"/>
                <w:sz w:val="24"/>
                <w:szCs w:val="24"/>
              </w:rPr>
              <w:t xml:space="preserve">    □</w:t>
            </w:r>
            <w:r>
              <w:rPr>
                <w:sz w:val="24"/>
                <w:szCs w:val="24"/>
              </w:rPr>
              <w:t>否</w:t>
            </w:r>
          </w:p>
        </w:tc>
        <w:tc>
          <w:tcPr>
            <w:tcW w:w="5743" w:type="dxa"/>
            <w:gridSpan w:val="6"/>
            <w:vAlign w:val="center"/>
          </w:tcPr>
          <w:p>
            <w:pPr>
              <w:spacing w:line="360" w:lineRule="exact"/>
              <w:rPr>
                <w:sz w:val="24"/>
                <w:szCs w:val="24"/>
              </w:rPr>
            </w:pPr>
            <w:r>
              <w:rPr>
                <w:rFonts w:hint="eastAsia"/>
                <w:sz w:val="24"/>
                <w:szCs w:val="24"/>
              </w:rPr>
              <w:t>中标价、中标候选人是否与评标报告一致：</w:t>
            </w:r>
            <w:r>
              <w:rPr>
                <w:sz w:val="24"/>
                <w:szCs w:val="24"/>
              </w:rPr>
              <w:sym w:font="Wingdings 2" w:char="00A3"/>
            </w:r>
            <w:r>
              <w:rPr>
                <w:sz w:val="24"/>
                <w:szCs w:val="24"/>
              </w:rPr>
              <w:t>是</w:t>
            </w:r>
            <w:r>
              <w:rPr>
                <w:rFonts w:hint="eastAsia"/>
                <w:sz w:val="24"/>
                <w:szCs w:val="24"/>
              </w:rPr>
              <w:t xml:space="preserve"> □</w:t>
            </w:r>
            <w:r>
              <w:rPr>
                <w:sz w:val="24"/>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811" w:type="dxa"/>
            <w:vMerge w:val="continue"/>
            <w:vAlign w:val="center"/>
          </w:tcPr>
          <w:p/>
        </w:tc>
        <w:tc>
          <w:tcPr>
            <w:tcW w:w="10269" w:type="dxa"/>
            <w:gridSpan w:val="9"/>
            <w:vAlign w:val="center"/>
          </w:tcPr>
          <w:p>
            <w:pPr>
              <w:spacing w:line="360" w:lineRule="exact"/>
              <w:rPr>
                <w:sz w:val="24"/>
                <w:szCs w:val="24"/>
              </w:rPr>
            </w:pPr>
            <w:r>
              <w:rPr>
                <w:rFonts w:hint="eastAsia"/>
                <w:sz w:val="24"/>
                <w:szCs w:val="24"/>
              </w:rPr>
              <w:t>是否发布中标公告：</w:t>
            </w:r>
            <w:r>
              <w:rPr>
                <w:rFonts w:hint="eastAsia" w:ascii="Arial Unicode MS" w:eastAsia="Arial Unicode MS" w:cs="Arial Unicode MS"/>
                <w:sz w:val="24"/>
                <w:szCs w:val="24"/>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811" w:type="dxa"/>
            <w:vMerge w:val="restart"/>
            <w:vAlign w:val="center"/>
          </w:tcPr>
          <w:p>
            <w:pPr>
              <w:jc w:val="center"/>
              <w:rPr>
                <w:rFonts w:ascii="黑体" w:eastAsia="黑体"/>
                <w:sz w:val="24"/>
                <w:szCs w:val="24"/>
              </w:rPr>
            </w:pPr>
            <w:r>
              <w:rPr>
                <w:rFonts w:hint="eastAsia" w:ascii="黑体" w:eastAsia="黑体"/>
                <w:sz w:val="24"/>
                <w:szCs w:val="24"/>
              </w:rPr>
              <w:t>书面报告</w:t>
            </w:r>
          </w:p>
        </w:tc>
        <w:tc>
          <w:tcPr>
            <w:tcW w:w="4648" w:type="dxa"/>
            <w:gridSpan w:val="5"/>
            <w:vAlign w:val="center"/>
          </w:tcPr>
          <w:p>
            <w:pPr>
              <w:spacing w:line="360" w:lineRule="exact"/>
              <w:rPr>
                <w:sz w:val="24"/>
                <w:szCs w:val="24"/>
              </w:rPr>
            </w:pPr>
            <w:r>
              <w:rPr>
                <w:rFonts w:hint="eastAsia"/>
                <w:sz w:val="24"/>
                <w:szCs w:val="24"/>
              </w:rPr>
              <w:t>是否递交招投标情况书面报告：□</w:t>
            </w:r>
            <w:r>
              <w:rPr>
                <w:sz w:val="24"/>
                <w:szCs w:val="24"/>
              </w:rPr>
              <w:t>是</w:t>
            </w:r>
            <w:r>
              <w:rPr>
                <w:rFonts w:hint="eastAsia"/>
                <w:sz w:val="24"/>
                <w:szCs w:val="24"/>
              </w:rPr>
              <w:t xml:space="preserve"> □</w:t>
            </w:r>
            <w:r>
              <w:rPr>
                <w:sz w:val="24"/>
                <w:szCs w:val="24"/>
              </w:rPr>
              <w:t>否</w:t>
            </w:r>
          </w:p>
        </w:tc>
        <w:tc>
          <w:tcPr>
            <w:tcW w:w="5621" w:type="dxa"/>
            <w:gridSpan w:val="4"/>
            <w:vAlign w:val="center"/>
          </w:tcPr>
          <w:p>
            <w:pPr>
              <w:spacing w:line="360" w:lineRule="exact"/>
              <w:rPr>
                <w:sz w:val="24"/>
                <w:szCs w:val="24"/>
              </w:rPr>
            </w:pPr>
            <w:r>
              <w:rPr>
                <w:rFonts w:hint="eastAsia"/>
                <w:sz w:val="24"/>
                <w:szCs w:val="24"/>
              </w:rPr>
              <w:t>书面报告内容及资料是否完整：  □</w:t>
            </w:r>
            <w:r>
              <w:rPr>
                <w:sz w:val="24"/>
                <w:szCs w:val="24"/>
              </w:rPr>
              <w:t>是</w:t>
            </w:r>
            <w:r>
              <w:rPr>
                <w:rFonts w:hint="eastAsia"/>
                <w:sz w:val="24"/>
                <w:szCs w:val="24"/>
              </w:rPr>
              <w:t xml:space="preserve">    □</w:t>
            </w:r>
            <w:r>
              <w:rPr>
                <w:sz w:val="24"/>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811" w:type="dxa"/>
            <w:vMerge w:val="continue"/>
            <w:vAlign w:val="center"/>
          </w:tcPr>
          <w:p/>
        </w:tc>
        <w:tc>
          <w:tcPr>
            <w:tcW w:w="10269" w:type="dxa"/>
            <w:gridSpan w:val="9"/>
            <w:vAlign w:val="center"/>
          </w:tcPr>
          <w:p>
            <w:pPr>
              <w:spacing w:line="360" w:lineRule="exact"/>
              <w:rPr>
                <w:sz w:val="24"/>
                <w:szCs w:val="24"/>
              </w:rPr>
            </w:pPr>
            <w:r>
              <w:rPr>
                <w:rFonts w:hint="eastAsia"/>
                <w:sz w:val="24"/>
                <w:szCs w:val="24"/>
              </w:rPr>
              <w:t>是否在中标通知书发出之日起15日内递交书面报告：  □</w:t>
            </w:r>
            <w:r>
              <w:rPr>
                <w:sz w:val="24"/>
                <w:szCs w:val="24"/>
              </w:rPr>
              <w:t>是</w:t>
            </w:r>
            <w:r>
              <w:rPr>
                <w:rFonts w:hint="eastAsia"/>
                <w:sz w:val="24"/>
                <w:szCs w:val="24"/>
              </w:rPr>
              <w:t xml:space="preserve">      □</w:t>
            </w:r>
            <w:r>
              <w:rPr>
                <w:sz w:val="24"/>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811" w:type="dxa"/>
            <w:vMerge w:val="continue"/>
            <w:vAlign w:val="center"/>
          </w:tcPr>
          <w:p/>
        </w:tc>
        <w:tc>
          <w:tcPr>
            <w:tcW w:w="10269" w:type="dxa"/>
            <w:gridSpan w:val="9"/>
            <w:vAlign w:val="center"/>
          </w:tcPr>
          <w:p>
            <w:pPr>
              <w:spacing w:line="360" w:lineRule="exact"/>
              <w:rPr>
                <w:sz w:val="24"/>
                <w:szCs w:val="24"/>
              </w:rPr>
            </w:pPr>
            <w:r>
              <w:rPr>
                <w:sz w:val="24"/>
                <w:szCs w:val="24"/>
              </w:rPr>
              <w:t>中标通知书</w:t>
            </w:r>
            <w:r>
              <w:rPr>
                <w:rFonts w:hint="eastAsia"/>
                <w:sz w:val="24"/>
                <w:szCs w:val="24"/>
              </w:rPr>
              <w:t>是否加盖招标人公章：□</w:t>
            </w:r>
            <w:r>
              <w:rPr>
                <w:sz w:val="24"/>
                <w:szCs w:val="24"/>
              </w:rPr>
              <w:t>是</w:t>
            </w:r>
            <w:r>
              <w:rPr>
                <w:rFonts w:hint="eastAsia"/>
                <w:sz w:val="24"/>
                <w:szCs w:val="24"/>
              </w:rPr>
              <w:t xml:space="preserve">    □</w:t>
            </w:r>
            <w:r>
              <w:rPr>
                <w:sz w:val="24"/>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811" w:type="dxa"/>
            <w:vAlign w:val="center"/>
          </w:tcPr>
          <w:p>
            <w:pPr>
              <w:jc w:val="center"/>
              <w:rPr>
                <w:rFonts w:ascii="黑体" w:eastAsia="黑体"/>
                <w:sz w:val="24"/>
                <w:szCs w:val="24"/>
              </w:rPr>
            </w:pPr>
            <w:r>
              <w:rPr>
                <w:rFonts w:hint="eastAsia" w:ascii="黑体" w:eastAsia="黑体"/>
                <w:sz w:val="24"/>
                <w:szCs w:val="24"/>
              </w:rPr>
              <w:t>档案管理</w:t>
            </w:r>
          </w:p>
        </w:tc>
        <w:tc>
          <w:tcPr>
            <w:tcW w:w="2646" w:type="dxa"/>
            <w:gridSpan w:val="2"/>
            <w:vAlign w:val="center"/>
          </w:tcPr>
          <w:p>
            <w:pPr>
              <w:spacing w:line="360" w:lineRule="exact"/>
              <w:rPr>
                <w:sz w:val="24"/>
                <w:szCs w:val="24"/>
              </w:rPr>
            </w:pPr>
            <w:r>
              <w:rPr>
                <w:rFonts w:hint="eastAsia"/>
                <w:sz w:val="24"/>
                <w:szCs w:val="24"/>
              </w:rPr>
              <w:t>招标档案资料是否备案</w:t>
            </w:r>
          </w:p>
        </w:tc>
        <w:tc>
          <w:tcPr>
            <w:tcW w:w="2002" w:type="dxa"/>
            <w:gridSpan w:val="3"/>
            <w:vAlign w:val="center"/>
          </w:tcPr>
          <w:p>
            <w:pPr>
              <w:spacing w:line="360" w:lineRule="exact"/>
              <w:rPr>
                <w:sz w:val="24"/>
                <w:szCs w:val="24"/>
              </w:rPr>
            </w:pPr>
            <w:r>
              <w:rPr>
                <w:rFonts w:hint="eastAsia"/>
                <w:sz w:val="24"/>
                <w:szCs w:val="24"/>
              </w:rPr>
              <w:t>□</w:t>
            </w:r>
            <w:r>
              <w:rPr>
                <w:sz w:val="24"/>
                <w:szCs w:val="24"/>
              </w:rPr>
              <w:t>是</w:t>
            </w:r>
            <w:r>
              <w:rPr>
                <w:rFonts w:hint="eastAsia"/>
                <w:sz w:val="24"/>
                <w:szCs w:val="24"/>
              </w:rPr>
              <w:t xml:space="preserve"> □</w:t>
            </w:r>
            <w:r>
              <w:rPr>
                <w:sz w:val="24"/>
                <w:szCs w:val="24"/>
              </w:rPr>
              <w:t>否</w:t>
            </w:r>
          </w:p>
        </w:tc>
        <w:tc>
          <w:tcPr>
            <w:tcW w:w="3837" w:type="dxa"/>
            <w:gridSpan w:val="3"/>
            <w:vAlign w:val="center"/>
          </w:tcPr>
          <w:p>
            <w:pPr>
              <w:spacing w:line="360" w:lineRule="exact"/>
              <w:rPr>
                <w:sz w:val="24"/>
                <w:szCs w:val="24"/>
              </w:rPr>
            </w:pPr>
            <w:r>
              <w:rPr>
                <w:rFonts w:hint="eastAsia"/>
                <w:sz w:val="24"/>
                <w:szCs w:val="24"/>
              </w:rPr>
              <w:t>招标档案资料是否齐全并及时归档</w:t>
            </w:r>
          </w:p>
        </w:tc>
        <w:tc>
          <w:tcPr>
            <w:tcW w:w="1784" w:type="dxa"/>
            <w:vAlign w:val="center"/>
          </w:tcPr>
          <w:p>
            <w:pPr>
              <w:spacing w:line="360" w:lineRule="exact"/>
              <w:rPr>
                <w:sz w:val="24"/>
                <w:szCs w:val="24"/>
              </w:rPr>
            </w:pPr>
            <w:r>
              <w:rPr>
                <w:rFonts w:hint="eastAsia"/>
                <w:sz w:val="24"/>
                <w:szCs w:val="24"/>
              </w:rPr>
              <w:t>□</w:t>
            </w:r>
            <w:r>
              <w:rPr>
                <w:sz w:val="24"/>
                <w:szCs w:val="24"/>
              </w:rPr>
              <w:t>是</w:t>
            </w:r>
            <w:r>
              <w:rPr>
                <w:rFonts w:hint="eastAsia"/>
                <w:sz w:val="24"/>
                <w:szCs w:val="24"/>
              </w:rPr>
              <w:t xml:space="preserve"> □</w:t>
            </w:r>
            <w:r>
              <w:rPr>
                <w:sz w:val="24"/>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2" w:hRule="atLeast"/>
          <w:jc w:val="center"/>
        </w:trPr>
        <w:tc>
          <w:tcPr>
            <w:tcW w:w="811" w:type="dxa"/>
            <w:vAlign w:val="center"/>
          </w:tcPr>
          <w:p>
            <w:pPr>
              <w:jc w:val="center"/>
              <w:rPr>
                <w:rFonts w:ascii="黑体" w:eastAsia="黑体"/>
                <w:sz w:val="24"/>
                <w:szCs w:val="24"/>
              </w:rPr>
            </w:pPr>
            <w:r>
              <w:rPr>
                <w:rFonts w:hint="eastAsia" w:ascii="黑体" w:eastAsia="黑体"/>
                <w:sz w:val="24"/>
                <w:szCs w:val="24"/>
              </w:rPr>
              <w:t>存在问题</w:t>
            </w:r>
          </w:p>
        </w:tc>
        <w:tc>
          <w:tcPr>
            <w:tcW w:w="10269" w:type="dxa"/>
            <w:gridSpan w:val="9"/>
            <w:vAlign w:val="center"/>
          </w:tcPr>
          <w:p>
            <w:pPr>
              <w:spacing w:line="360" w:lineRule="exact"/>
              <w:rPr>
                <w:sz w:val="24"/>
                <w:szCs w:val="24"/>
              </w:rPr>
            </w:pPr>
          </w:p>
        </w:tc>
      </w:tr>
    </w:tbl>
    <w:p>
      <w:pPr>
        <w:widowControl/>
        <w:spacing w:line="480" w:lineRule="exact"/>
        <w:rPr>
          <w:sz w:val="24"/>
        </w:rPr>
      </w:pPr>
      <w:r>
        <w:rPr>
          <w:rFonts w:hint="eastAsia"/>
          <w:sz w:val="24"/>
        </w:rPr>
        <w:t>成果文件不符合上述要求的，每项扣3分。</w:t>
      </w:r>
    </w:p>
    <w:p>
      <w:pPr>
        <w:widowControl/>
        <w:spacing w:line="480" w:lineRule="exact"/>
        <w:rPr>
          <w:rFonts w:ascii="Times New Roman" w:hAnsi="Times New Roman" w:eastAsia="黑体" w:cs="Times New Roman"/>
          <w:sz w:val="32"/>
          <w:szCs w:val="32"/>
        </w:rPr>
      </w:pPr>
      <w:r>
        <w:rPr>
          <w:rFonts w:hint="eastAsia"/>
          <w:sz w:val="24"/>
        </w:rPr>
        <w:t>专家组签字：</w:t>
      </w:r>
    </w:p>
    <w:p>
      <w:pPr>
        <w:widowControl/>
        <w:jc w:val="left"/>
        <w:rPr>
          <w:rFonts w:ascii="Times New Roman" w:hAnsi="Times New Roman" w:eastAsia="黑体" w:cs="Times New Roman"/>
          <w:sz w:val="32"/>
          <w:szCs w:val="32"/>
        </w:rPr>
      </w:pPr>
      <w:r>
        <w:rPr>
          <w:rFonts w:hint="eastAsia" w:ascii="Times New Roman" w:hAnsi="Times New Roman" w:eastAsia="黑体" w:cs="Times New Roman"/>
          <w:sz w:val="32"/>
          <w:szCs w:val="32"/>
        </w:rPr>
        <w:t>附件4</w:t>
      </w:r>
    </w:p>
    <w:p>
      <w:pPr>
        <w:pStyle w:val="4"/>
        <w:widowControl/>
        <w:spacing w:beforeAutospacing="1" w:line="499" w:lineRule="atLeast"/>
        <w:jc w:val="center"/>
        <w:rPr>
          <w:rFonts w:ascii="黑体" w:eastAsia="黑体"/>
          <w:color w:val="000000"/>
          <w:sz w:val="32"/>
          <w:szCs w:val="32"/>
        </w:rPr>
      </w:pPr>
      <w:r>
        <w:rPr>
          <w:rFonts w:hint="eastAsia" w:ascii="黑体" w:eastAsia="黑体"/>
          <w:color w:val="000000"/>
          <w:sz w:val="32"/>
          <w:szCs w:val="32"/>
        </w:rPr>
        <w:t>招标单位对代理机构“一标一评”评价表</w:t>
      </w:r>
    </w:p>
    <w:tbl>
      <w:tblPr>
        <w:tblStyle w:val="5"/>
        <w:tblW w:w="8865"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576"/>
        <w:gridCol w:w="456"/>
        <w:gridCol w:w="974"/>
        <w:gridCol w:w="3064"/>
        <w:gridCol w:w="3060"/>
        <w:gridCol w:w="735"/>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3" w:hRule="atLeast"/>
          <w:tblHeader/>
        </w:trPr>
        <w:tc>
          <w:tcPr>
            <w:tcW w:w="576" w:type="dxa"/>
            <w:vMerge w:val="restart"/>
            <w:tcBorders>
              <w:top w:val="single" w:color="auto" w:sz="4" w:space="0"/>
            </w:tcBorders>
            <w:vAlign w:val="center"/>
          </w:tcPr>
          <w:p>
            <w:pPr>
              <w:widowControl/>
              <w:jc w:val="center"/>
              <w:rPr>
                <w:rFonts w:ascii="黑体" w:eastAsia="黑体" w:cs="宋体"/>
                <w:b/>
                <w:color w:val="000000"/>
                <w:kern w:val="0"/>
                <w:sz w:val="20"/>
                <w:szCs w:val="20"/>
              </w:rPr>
            </w:pPr>
            <w:r>
              <w:rPr>
                <w:rFonts w:hint="eastAsia" w:ascii="黑体" w:eastAsia="黑体" w:cs="宋体"/>
                <w:b/>
                <w:color w:val="000000"/>
                <w:kern w:val="0"/>
                <w:sz w:val="20"/>
                <w:szCs w:val="20"/>
              </w:rPr>
              <w:t>项目</w:t>
            </w:r>
          </w:p>
        </w:tc>
        <w:tc>
          <w:tcPr>
            <w:tcW w:w="456" w:type="dxa"/>
            <w:vMerge w:val="restart"/>
            <w:tcBorders>
              <w:top w:val="single" w:color="auto" w:sz="4" w:space="0"/>
            </w:tcBorders>
            <w:vAlign w:val="center"/>
          </w:tcPr>
          <w:p>
            <w:pPr>
              <w:widowControl/>
              <w:jc w:val="center"/>
              <w:rPr>
                <w:rFonts w:ascii="黑体" w:eastAsia="黑体" w:cs="宋体"/>
                <w:b/>
                <w:color w:val="000000"/>
                <w:kern w:val="0"/>
                <w:sz w:val="20"/>
                <w:szCs w:val="20"/>
              </w:rPr>
            </w:pPr>
            <w:r>
              <w:rPr>
                <w:rFonts w:hint="eastAsia" w:ascii="黑体" w:eastAsia="黑体" w:cs="宋体"/>
                <w:b/>
                <w:color w:val="000000"/>
                <w:kern w:val="0"/>
                <w:sz w:val="20"/>
                <w:szCs w:val="20"/>
              </w:rPr>
              <w:t>分值</w:t>
            </w:r>
          </w:p>
        </w:tc>
        <w:tc>
          <w:tcPr>
            <w:tcW w:w="974" w:type="dxa"/>
            <w:vMerge w:val="restart"/>
            <w:tcBorders>
              <w:top w:val="single" w:color="auto" w:sz="4" w:space="0"/>
            </w:tcBorders>
            <w:vAlign w:val="center"/>
          </w:tcPr>
          <w:p>
            <w:pPr>
              <w:widowControl/>
              <w:jc w:val="center"/>
              <w:rPr>
                <w:rFonts w:ascii="黑体" w:eastAsia="黑体" w:cs="宋体"/>
                <w:b/>
                <w:color w:val="000000"/>
                <w:kern w:val="0"/>
                <w:sz w:val="20"/>
                <w:szCs w:val="20"/>
              </w:rPr>
            </w:pPr>
            <w:r>
              <w:rPr>
                <w:rFonts w:hint="eastAsia" w:ascii="黑体" w:eastAsia="黑体" w:cs="宋体"/>
                <w:b/>
                <w:color w:val="000000"/>
                <w:kern w:val="0"/>
                <w:sz w:val="20"/>
                <w:szCs w:val="20"/>
              </w:rPr>
              <w:t>子  项</w:t>
            </w:r>
          </w:p>
        </w:tc>
        <w:tc>
          <w:tcPr>
            <w:tcW w:w="6859" w:type="dxa"/>
            <w:gridSpan w:val="3"/>
            <w:tcBorders>
              <w:top w:val="single" w:color="auto" w:sz="4" w:space="0"/>
              <w:bottom w:val="single" w:color="auto" w:sz="4" w:space="0"/>
            </w:tcBorders>
            <w:vAlign w:val="center"/>
          </w:tcPr>
          <w:p>
            <w:pPr>
              <w:widowControl/>
              <w:jc w:val="center"/>
              <w:rPr>
                <w:rFonts w:ascii="黑体" w:eastAsia="黑体" w:cs="宋体"/>
                <w:b/>
                <w:color w:val="000000"/>
                <w:kern w:val="0"/>
                <w:sz w:val="20"/>
                <w:szCs w:val="20"/>
              </w:rPr>
            </w:pPr>
            <w:r>
              <w:rPr>
                <w:rFonts w:hint="eastAsia" w:ascii="黑体" w:eastAsia="黑体" w:cs="宋体"/>
                <w:b/>
                <w:color w:val="000000"/>
                <w:kern w:val="0"/>
                <w:sz w:val="20"/>
                <w:szCs w:val="20"/>
              </w:rPr>
              <w:t>评    价   标  准  及  得  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4" w:hRule="atLeast"/>
          <w:tblHeader/>
        </w:trPr>
        <w:tc>
          <w:tcPr>
            <w:tcW w:w="576" w:type="dxa"/>
            <w:vMerge w:val="continue"/>
            <w:tcBorders>
              <w:bottom w:val="single" w:color="auto" w:sz="4" w:space="0"/>
            </w:tcBorders>
            <w:vAlign w:val="center"/>
          </w:tcPr>
          <w:p/>
        </w:tc>
        <w:tc>
          <w:tcPr>
            <w:tcW w:w="456" w:type="dxa"/>
            <w:vMerge w:val="continue"/>
            <w:vAlign w:val="center"/>
          </w:tcPr>
          <w:p/>
        </w:tc>
        <w:tc>
          <w:tcPr>
            <w:tcW w:w="974" w:type="dxa"/>
            <w:vMerge w:val="continue"/>
            <w:vAlign w:val="center"/>
          </w:tcPr>
          <w:p/>
        </w:tc>
        <w:tc>
          <w:tcPr>
            <w:tcW w:w="3064" w:type="dxa"/>
            <w:tcBorders>
              <w:top w:val="single" w:color="auto" w:sz="4" w:space="0"/>
              <w:right w:val="single" w:color="auto" w:sz="4" w:space="0"/>
            </w:tcBorders>
            <w:vAlign w:val="center"/>
          </w:tcPr>
          <w:p>
            <w:pPr>
              <w:widowControl/>
              <w:jc w:val="center"/>
              <w:rPr>
                <w:rFonts w:ascii="宋体" w:cs="宋体"/>
                <w:color w:val="000000"/>
                <w:kern w:val="0"/>
                <w:szCs w:val="21"/>
              </w:rPr>
            </w:pPr>
            <w:r>
              <w:rPr>
                <w:rFonts w:hint="eastAsia" w:ascii="宋体" w:cs="宋体"/>
                <w:color w:val="000000"/>
                <w:kern w:val="0"/>
                <w:szCs w:val="21"/>
              </w:rPr>
              <w:t>评价说明</w:t>
            </w:r>
          </w:p>
        </w:tc>
        <w:tc>
          <w:tcPr>
            <w:tcW w:w="3060" w:type="dxa"/>
            <w:tcBorders>
              <w:top w:val="single" w:color="auto" w:sz="4" w:space="0"/>
              <w:left w:val="single" w:color="auto" w:sz="4" w:space="0"/>
              <w:right w:val="single" w:color="auto" w:sz="4" w:space="0"/>
            </w:tcBorders>
            <w:vAlign w:val="center"/>
          </w:tcPr>
          <w:p>
            <w:pPr>
              <w:widowControl/>
              <w:jc w:val="center"/>
              <w:rPr>
                <w:rFonts w:ascii="宋体" w:cs="宋体"/>
                <w:color w:val="000000"/>
                <w:kern w:val="0"/>
                <w:szCs w:val="21"/>
              </w:rPr>
            </w:pPr>
            <w:r>
              <w:rPr>
                <w:rFonts w:hint="eastAsia" w:ascii="宋体" w:cs="宋体"/>
                <w:color w:val="000000"/>
                <w:kern w:val="0"/>
                <w:szCs w:val="21"/>
              </w:rPr>
              <w:t>评价标准</w:t>
            </w:r>
          </w:p>
        </w:tc>
        <w:tc>
          <w:tcPr>
            <w:tcW w:w="735" w:type="dxa"/>
            <w:tcBorders>
              <w:top w:val="single" w:color="auto" w:sz="4" w:space="0"/>
              <w:left w:val="single" w:color="auto" w:sz="4" w:space="0"/>
            </w:tcBorders>
            <w:vAlign w:val="center"/>
          </w:tcPr>
          <w:p>
            <w:pPr>
              <w:widowControl/>
              <w:jc w:val="center"/>
              <w:rPr>
                <w:rFonts w:ascii="宋体" w:cs="宋体"/>
                <w:color w:val="000000"/>
                <w:kern w:val="0"/>
                <w:szCs w:val="21"/>
              </w:rPr>
            </w:pPr>
            <w:r>
              <w:rPr>
                <w:rFonts w:hint="eastAsia" w:ascii="宋体" w:cs="宋体"/>
                <w:color w:val="000000"/>
                <w:kern w:val="0"/>
                <w:szCs w:val="21"/>
              </w:rPr>
              <w:t>得分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06" w:hRule="atLeast"/>
          <w:tblHeader/>
        </w:trPr>
        <w:tc>
          <w:tcPr>
            <w:tcW w:w="576" w:type="dxa"/>
            <w:vMerge w:val="restart"/>
            <w:tcBorders>
              <w:top w:val="single" w:color="auto" w:sz="4" w:space="0"/>
            </w:tcBorders>
            <w:vAlign w:val="center"/>
          </w:tcPr>
          <w:p>
            <w:pPr>
              <w:spacing w:line="276" w:lineRule="auto"/>
              <w:rPr>
                <w:rFonts w:ascii="Times New Roman" w:hAnsi="Times New Roman" w:cs="Times New Roman"/>
                <w:sz w:val="24"/>
              </w:rPr>
            </w:pPr>
            <w:r>
              <w:rPr>
                <w:rFonts w:hint="eastAsia" w:ascii="Times New Roman" w:hAnsi="Times New Roman" w:cs="Times New Roman"/>
                <w:sz w:val="24"/>
              </w:rPr>
              <w:t>企</w:t>
            </w:r>
          </w:p>
          <w:p>
            <w:pPr>
              <w:spacing w:line="276" w:lineRule="auto"/>
              <w:rPr>
                <w:rFonts w:ascii="Times New Roman" w:hAnsi="Times New Roman" w:cs="Times New Roman"/>
                <w:sz w:val="24"/>
              </w:rPr>
            </w:pPr>
            <w:r>
              <w:rPr>
                <w:rFonts w:hint="eastAsia" w:ascii="Times New Roman" w:hAnsi="Times New Roman" w:cs="Times New Roman"/>
                <w:sz w:val="24"/>
              </w:rPr>
              <w:t>业</w:t>
            </w:r>
          </w:p>
          <w:p>
            <w:pPr>
              <w:spacing w:line="276" w:lineRule="auto"/>
              <w:rPr>
                <w:rFonts w:ascii="Times New Roman" w:hAnsi="Times New Roman" w:cs="Times New Roman"/>
                <w:sz w:val="24"/>
              </w:rPr>
            </w:pPr>
            <w:r>
              <w:rPr>
                <w:rFonts w:hint="eastAsia" w:ascii="Times New Roman" w:hAnsi="Times New Roman" w:cs="Times New Roman"/>
                <w:sz w:val="24"/>
              </w:rPr>
              <w:t>履</w:t>
            </w:r>
          </w:p>
          <w:p>
            <w:pPr>
              <w:spacing w:line="276" w:lineRule="auto"/>
              <w:rPr>
                <w:rFonts w:ascii="Times New Roman" w:hAnsi="Times New Roman" w:cs="Times New Roman"/>
                <w:sz w:val="24"/>
              </w:rPr>
            </w:pPr>
            <w:r>
              <w:rPr>
                <w:rFonts w:hint="eastAsia" w:ascii="Times New Roman" w:hAnsi="Times New Roman" w:cs="Times New Roman"/>
                <w:sz w:val="24"/>
              </w:rPr>
              <w:t>约</w:t>
            </w:r>
          </w:p>
          <w:p>
            <w:pPr>
              <w:spacing w:line="276" w:lineRule="auto"/>
              <w:rPr>
                <w:rFonts w:ascii="Times New Roman" w:hAnsi="Times New Roman" w:cs="Times New Roman"/>
                <w:sz w:val="24"/>
              </w:rPr>
            </w:pPr>
            <w:r>
              <w:rPr>
                <w:rFonts w:hint="eastAsia" w:ascii="Times New Roman" w:hAnsi="Times New Roman" w:cs="Times New Roman"/>
                <w:sz w:val="24"/>
              </w:rPr>
              <w:t>情</w:t>
            </w:r>
          </w:p>
          <w:p>
            <w:pPr>
              <w:spacing w:line="276" w:lineRule="auto"/>
              <w:rPr>
                <w:rFonts w:ascii="Times New Roman" w:hAnsi="Times New Roman" w:cs="Times New Roman"/>
                <w:sz w:val="24"/>
              </w:rPr>
            </w:pPr>
            <w:r>
              <w:rPr>
                <w:rFonts w:hint="eastAsia" w:ascii="Times New Roman" w:hAnsi="Times New Roman" w:cs="Times New Roman"/>
                <w:sz w:val="24"/>
              </w:rPr>
              <w:t>况</w:t>
            </w:r>
          </w:p>
          <w:p>
            <w:pPr>
              <w:spacing w:line="276" w:lineRule="auto"/>
              <w:rPr>
                <w:rFonts w:ascii="Times New Roman" w:hAnsi="Times New Roman" w:cs="Times New Roman"/>
                <w:sz w:val="24"/>
              </w:rPr>
            </w:pPr>
            <w:r>
              <w:rPr>
                <w:rFonts w:hint="eastAsia" w:ascii="Times New Roman" w:hAnsi="Times New Roman" w:cs="Times New Roman"/>
                <w:sz w:val="24"/>
              </w:rPr>
              <w:t>（</w:t>
            </w:r>
          </w:p>
          <w:p>
            <w:pPr>
              <w:spacing w:line="276" w:lineRule="auto"/>
              <w:rPr>
                <w:rFonts w:ascii="Times New Roman" w:hAnsi="Times New Roman" w:cs="Times New Roman"/>
                <w:sz w:val="24"/>
              </w:rPr>
            </w:pPr>
            <w:r>
              <w:rPr>
                <w:rFonts w:hint="eastAsia" w:ascii="Times New Roman" w:hAnsi="Times New Roman" w:cs="Times New Roman"/>
                <w:sz w:val="24"/>
              </w:rPr>
              <w:t>100分</w:t>
            </w:r>
          </w:p>
          <w:p>
            <w:pPr>
              <w:spacing w:line="276" w:lineRule="auto"/>
              <w:rPr>
                <w:rFonts w:ascii="Times New Roman" w:hAnsi="Times New Roman" w:cs="Times New Roman"/>
                <w:sz w:val="24"/>
              </w:rPr>
            </w:pPr>
            <w:r>
              <w:rPr>
                <w:rFonts w:hint="eastAsia" w:ascii="Times New Roman" w:hAnsi="Times New Roman" w:cs="Times New Roman"/>
                <w:sz w:val="24"/>
              </w:rPr>
              <w:t>）</w:t>
            </w:r>
          </w:p>
        </w:tc>
        <w:tc>
          <w:tcPr>
            <w:tcW w:w="456" w:type="dxa"/>
            <w:vMerge w:val="restart"/>
            <w:vAlign w:val="center"/>
          </w:tcPr>
          <w:p>
            <w:pPr>
              <w:spacing w:line="276" w:lineRule="auto"/>
              <w:rPr>
                <w:rFonts w:ascii="Times New Roman" w:hAnsi="Times New Roman" w:cs="Times New Roman"/>
                <w:sz w:val="24"/>
              </w:rPr>
            </w:pPr>
            <w:r>
              <w:rPr>
                <w:rFonts w:hint="eastAsia" w:ascii="Times New Roman" w:hAnsi="Times New Roman" w:cs="Times New Roman"/>
                <w:sz w:val="24"/>
              </w:rPr>
              <w:t>10</w:t>
            </w:r>
          </w:p>
        </w:tc>
        <w:tc>
          <w:tcPr>
            <w:tcW w:w="974" w:type="dxa"/>
            <w:vMerge w:val="restart"/>
            <w:vAlign w:val="center"/>
          </w:tcPr>
          <w:p>
            <w:pPr>
              <w:spacing w:line="276" w:lineRule="auto"/>
              <w:rPr>
                <w:rFonts w:ascii="Times New Roman" w:hAnsi="Times New Roman" w:cs="Times New Roman"/>
                <w:sz w:val="24"/>
              </w:rPr>
            </w:pPr>
          </w:p>
          <w:p>
            <w:pPr>
              <w:spacing w:line="276" w:lineRule="auto"/>
              <w:rPr>
                <w:rFonts w:ascii="Times New Roman" w:hAnsi="Times New Roman" w:cs="Times New Roman"/>
                <w:sz w:val="24"/>
              </w:rPr>
            </w:pPr>
            <w:r>
              <w:rPr>
                <w:rFonts w:hint="eastAsia" w:ascii="Times New Roman" w:hAnsi="Times New Roman" w:cs="Times New Roman"/>
                <w:sz w:val="24"/>
              </w:rPr>
              <w:t>招标资料备案</w:t>
            </w:r>
          </w:p>
          <w:p>
            <w:pPr>
              <w:spacing w:line="276" w:lineRule="auto"/>
              <w:rPr>
                <w:rFonts w:ascii="Times New Roman" w:hAnsi="Times New Roman" w:cs="Times New Roman"/>
                <w:sz w:val="24"/>
              </w:rPr>
            </w:pPr>
          </w:p>
        </w:tc>
        <w:tc>
          <w:tcPr>
            <w:tcW w:w="3064" w:type="dxa"/>
            <w:vMerge w:val="restart"/>
            <w:tcBorders>
              <w:right w:val="single" w:color="auto" w:sz="4" w:space="0"/>
            </w:tcBorders>
            <w:vAlign w:val="center"/>
          </w:tcPr>
          <w:p>
            <w:pPr>
              <w:spacing w:line="276" w:lineRule="auto"/>
              <w:rPr>
                <w:rFonts w:ascii="Times New Roman" w:hAnsi="Times New Roman" w:cs="Times New Roman"/>
                <w:sz w:val="24"/>
              </w:rPr>
            </w:pPr>
            <w:r>
              <w:rPr>
                <w:rFonts w:hint="eastAsia" w:ascii="Times New Roman" w:hAnsi="Times New Roman" w:cs="Times New Roman"/>
                <w:sz w:val="24"/>
              </w:rPr>
              <w:t>是否严格按照国家法律、法规及委托协议有关规定及时完成招标文件、预算控制价的编制和备案</w:t>
            </w:r>
          </w:p>
        </w:tc>
        <w:tc>
          <w:tcPr>
            <w:tcW w:w="3060" w:type="dxa"/>
            <w:tcBorders>
              <w:top w:val="single" w:color="auto" w:sz="4" w:space="0"/>
              <w:right w:val="single" w:color="auto" w:sz="4" w:space="0"/>
            </w:tcBorders>
            <w:vAlign w:val="center"/>
          </w:tcPr>
          <w:p>
            <w:pPr>
              <w:spacing w:line="276" w:lineRule="auto"/>
              <w:rPr>
                <w:rFonts w:ascii="Times New Roman" w:hAnsi="Times New Roman" w:cs="Times New Roman"/>
                <w:sz w:val="24"/>
              </w:rPr>
            </w:pPr>
            <w:r>
              <w:rPr>
                <w:rFonts w:hint="eastAsia" w:ascii="Times New Roman" w:hAnsi="Times New Roman" w:cs="Times New Roman"/>
                <w:sz w:val="24"/>
              </w:rPr>
              <w:t>是</w:t>
            </w:r>
          </w:p>
        </w:tc>
        <w:tc>
          <w:tcPr>
            <w:tcW w:w="735" w:type="dxa"/>
            <w:tcBorders>
              <w:top w:val="single" w:color="auto" w:sz="4" w:space="0"/>
            </w:tcBorders>
            <w:vAlign w:val="center"/>
          </w:tcPr>
          <w:p>
            <w:pPr>
              <w:spacing w:line="276" w:lineRule="auto"/>
              <w:rPr>
                <w:rFonts w:ascii="Times New Roman" w:hAnsi="Times New Roman" w:cs="Times New Roman"/>
                <w:sz w:val="24"/>
              </w:rPr>
            </w:pPr>
            <w:r>
              <w:rPr>
                <w:rFonts w:hint="eastAsia" w:ascii="Times New Roman" w:hAnsi="Times New Roman" w:cs="Times New Roman"/>
                <w:sz w:val="24"/>
              </w:rPr>
              <w:t>10</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19" w:hRule="atLeast"/>
          <w:tblHeader/>
        </w:trPr>
        <w:tc>
          <w:tcPr>
            <w:tcW w:w="576" w:type="dxa"/>
            <w:vMerge w:val="continue"/>
            <w:vAlign w:val="center"/>
          </w:tcPr>
          <w:p>
            <w:pPr>
              <w:spacing w:line="276" w:lineRule="auto"/>
              <w:rPr>
                <w:rFonts w:ascii="Times New Roman" w:hAnsi="Times New Roman" w:cs="Times New Roman"/>
                <w:sz w:val="24"/>
              </w:rPr>
            </w:pPr>
          </w:p>
        </w:tc>
        <w:tc>
          <w:tcPr>
            <w:tcW w:w="456" w:type="dxa"/>
            <w:vMerge w:val="continue"/>
            <w:vAlign w:val="center"/>
          </w:tcPr>
          <w:p>
            <w:pPr>
              <w:spacing w:line="276" w:lineRule="auto"/>
              <w:rPr>
                <w:rFonts w:ascii="Times New Roman" w:hAnsi="Times New Roman" w:cs="Times New Roman"/>
                <w:sz w:val="24"/>
              </w:rPr>
            </w:pPr>
          </w:p>
        </w:tc>
        <w:tc>
          <w:tcPr>
            <w:tcW w:w="974" w:type="dxa"/>
            <w:vMerge w:val="continue"/>
            <w:vAlign w:val="center"/>
          </w:tcPr>
          <w:p>
            <w:pPr>
              <w:spacing w:line="276" w:lineRule="auto"/>
              <w:rPr>
                <w:rFonts w:ascii="Times New Roman" w:hAnsi="Times New Roman" w:cs="Times New Roman"/>
                <w:sz w:val="24"/>
              </w:rPr>
            </w:pPr>
          </w:p>
        </w:tc>
        <w:tc>
          <w:tcPr>
            <w:tcW w:w="3064" w:type="dxa"/>
            <w:vMerge w:val="continue"/>
            <w:tcBorders>
              <w:right w:val="single" w:color="auto" w:sz="4" w:space="0"/>
            </w:tcBorders>
            <w:vAlign w:val="center"/>
          </w:tcPr>
          <w:p>
            <w:pPr>
              <w:spacing w:line="276" w:lineRule="auto"/>
              <w:rPr>
                <w:rFonts w:ascii="Times New Roman" w:hAnsi="Times New Roman" w:cs="Times New Roman"/>
                <w:sz w:val="24"/>
              </w:rPr>
            </w:pPr>
          </w:p>
        </w:tc>
        <w:tc>
          <w:tcPr>
            <w:tcW w:w="3060" w:type="dxa"/>
            <w:tcBorders>
              <w:top w:val="single" w:color="auto" w:sz="4" w:space="0"/>
              <w:right w:val="single" w:color="auto" w:sz="4" w:space="0"/>
            </w:tcBorders>
            <w:vAlign w:val="center"/>
          </w:tcPr>
          <w:p>
            <w:pPr>
              <w:spacing w:line="276" w:lineRule="auto"/>
              <w:rPr>
                <w:rFonts w:ascii="Times New Roman" w:hAnsi="Times New Roman" w:cs="Times New Roman"/>
                <w:sz w:val="24"/>
              </w:rPr>
            </w:pPr>
            <w:r>
              <w:rPr>
                <w:rFonts w:hint="eastAsia" w:ascii="Times New Roman" w:hAnsi="Times New Roman" w:cs="Times New Roman"/>
                <w:sz w:val="24"/>
              </w:rPr>
              <w:t>否（因招标代理机构原因）</w:t>
            </w:r>
          </w:p>
        </w:tc>
        <w:tc>
          <w:tcPr>
            <w:tcW w:w="735" w:type="dxa"/>
            <w:tcBorders>
              <w:top w:val="single" w:color="auto" w:sz="4" w:space="0"/>
            </w:tcBorders>
            <w:vAlign w:val="center"/>
          </w:tcPr>
          <w:p>
            <w:pPr>
              <w:spacing w:line="276" w:lineRule="auto"/>
              <w:rPr>
                <w:rFonts w:ascii="Times New Roman" w:hAnsi="Times New Roman" w:cs="Times New Roman"/>
                <w:sz w:val="24"/>
              </w:rPr>
            </w:pPr>
            <w:r>
              <w:rPr>
                <w:rFonts w:hint="eastAsia" w:ascii="Times New Roman" w:hAnsi="Times New Roman" w:cs="Times New Roman"/>
                <w:sz w:val="24"/>
              </w:rPr>
              <w:t>0</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9" w:hRule="atLeast"/>
          <w:tblHeader/>
        </w:trPr>
        <w:tc>
          <w:tcPr>
            <w:tcW w:w="576" w:type="dxa"/>
            <w:vMerge w:val="continue"/>
            <w:vAlign w:val="center"/>
          </w:tcPr>
          <w:p>
            <w:pPr>
              <w:spacing w:line="276" w:lineRule="auto"/>
              <w:rPr>
                <w:rFonts w:ascii="Times New Roman" w:hAnsi="Times New Roman" w:cs="Times New Roman"/>
                <w:sz w:val="24"/>
              </w:rPr>
            </w:pPr>
          </w:p>
        </w:tc>
        <w:tc>
          <w:tcPr>
            <w:tcW w:w="456" w:type="dxa"/>
            <w:vMerge w:val="restart"/>
            <w:vAlign w:val="center"/>
          </w:tcPr>
          <w:p>
            <w:pPr>
              <w:spacing w:line="276" w:lineRule="auto"/>
              <w:rPr>
                <w:rFonts w:ascii="Times New Roman" w:hAnsi="Times New Roman" w:cs="Times New Roman"/>
                <w:sz w:val="24"/>
              </w:rPr>
            </w:pPr>
            <w:r>
              <w:rPr>
                <w:rFonts w:hint="eastAsia" w:ascii="Times New Roman" w:hAnsi="Times New Roman" w:cs="Times New Roman"/>
                <w:sz w:val="24"/>
              </w:rPr>
              <w:t>15</w:t>
            </w:r>
          </w:p>
        </w:tc>
        <w:tc>
          <w:tcPr>
            <w:tcW w:w="974" w:type="dxa"/>
            <w:vMerge w:val="restart"/>
            <w:vAlign w:val="center"/>
          </w:tcPr>
          <w:p>
            <w:pPr>
              <w:spacing w:line="276" w:lineRule="auto"/>
              <w:rPr>
                <w:rFonts w:ascii="Times New Roman" w:hAnsi="Times New Roman" w:cs="Times New Roman"/>
                <w:sz w:val="24"/>
              </w:rPr>
            </w:pPr>
            <w:r>
              <w:rPr>
                <w:rFonts w:hint="eastAsia" w:ascii="Times New Roman" w:hAnsi="Times New Roman" w:cs="Times New Roman"/>
                <w:sz w:val="24"/>
              </w:rPr>
              <w:t>招标公告发布</w:t>
            </w:r>
          </w:p>
        </w:tc>
        <w:tc>
          <w:tcPr>
            <w:tcW w:w="3064" w:type="dxa"/>
            <w:vMerge w:val="restart"/>
            <w:tcBorders>
              <w:right w:val="single" w:color="auto" w:sz="4" w:space="0"/>
            </w:tcBorders>
            <w:vAlign w:val="center"/>
          </w:tcPr>
          <w:p>
            <w:pPr>
              <w:spacing w:line="276" w:lineRule="auto"/>
              <w:rPr>
                <w:rFonts w:ascii="Times New Roman" w:hAnsi="Times New Roman" w:cs="Times New Roman"/>
                <w:sz w:val="24"/>
              </w:rPr>
            </w:pPr>
            <w:r>
              <w:rPr>
                <w:rFonts w:hint="eastAsia" w:ascii="Times New Roman" w:hAnsi="Times New Roman" w:cs="Times New Roman"/>
                <w:sz w:val="24"/>
              </w:rPr>
              <w:t>是否严格按照国家法律、法规及委托协议有关规定及时、准确发布招标公告</w:t>
            </w:r>
          </w:p>
        </w:tc>
        <w:tc>
          <w:tcPr>
            <w:tcW w:w="3060" w:type="dxa"/>
            <w:tcBorders>
              <w:top w:val="single" w:color="auto" w:sz="4" w:space="0"/>
              <w:bottom w:val="single" w:color="auto" w:sz="4" w:space="0"/>
              <w:right w:val="single" w:color="auto" w:sz="4" w:space="0"/>
            </w:tcBorders>
            <w:vAlign w:val="center"/>
          </w:tcPr>
          <w:p>
            <w:pPr>
              <w:spacing w:line="276" w:lineRule="auto"/>
              <w:rPr>
                <w:rFonts w:ascii="Times New Roman" w:hAnsi="Times New Roman" w:cs="Times New Roman"/>
                <w:sz w:val="24"/>
              </w:rPr>
            </w:pPr>
            <w:r>
              <w:rPr>
                <w:rFonts w:hint="eastAsia" w:ascii="Times New Roman" w:hAnsi="Times New Roman" w:cs="Times New Roman"/>
                <w:sz w:val="24"/>
              </w:rPr>
              <w:t>是</w:t>
            </w:r>
          </w:p>
        </w:tc>
        <w:tc>
          <w:tcPr>
            <w:tcW w:w="735" w:type="dxa"/>
            <w:tcBorders>
              <w:top w:val="single" w:color="auto" w:sz="4" w:space="0"/>
              <w:bottom w:val="single" w:color="auto" w:sz="4" w:space="0"/>
            </w:tcBorders>
            <w:vAlign w:val="center"/>
          </w:tcPr>
          <w:p>
            <w:pPr>
              <w:spacing w:line="276" w:lineRule="auto"/>
              <w:rPr>
                <w:rFonts w:ascii="Times New Roman" w:hAnsi="Times New Roman" w:cs="Times New Roman"/>
                <w:sz w:val="24"/>
              </w:rPr>
            </w:pPr>
            <w:r>
              <w:rPr>
                <w:rFonts w:hint="eastAsia" w:ascii="Times New Roman" w:hAnsi="Times New Roman" w:cs="Times New Roman"/>
                <w:sz w:val="24"/>
              </w:rPr>
              <w:t>15</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42" w:hRule="atLeast"/>
          <w:tblHeader/>
        </w:trPr>
        <w:tc>
          <w:tcPr>
            <w:tcW w:w="576" w:type="dxa"/>
            <w:vMerge w:val="continue"/>
            <w:vAlign w:val="center"/>
          </w:tcPr>
          <w:p>
            <w:pPr>
              <w:spacing w:line="276" w:lineRule="auto"/>
              <w:rPr>
                <w:rFonts w:ascii="Times New Roman" w:hAnsi="Times New Roman" w:cs="Times New Roman"/>
                <w:sz w:val="24"/>
              </w:rPr>
            </w:pPr>
          </w:p>
        </w:tc>
        <w:tc>
          <w:tcPr>
            <w:tcW w:w="456" w:type="dxa"/>
            <w:vMerge w:val="continue"/>
            <w:vAlign w:val="center"/>
          </w:tcPr>
          <w:p>
            <w:pPr>
              <w:spacing w:line="276" w:lineRule="auto"/>
              <w:rPr>
                <w:rFonts w:ascii="Times New Roman" w:hAnsi="Times New Roman" w:cs="Times New Roman"/>
                <w:sz w:val="24"/>
              </w:rPr>
            </w:pPr>
          </w:p>
        </w:tc>
        <w:tc>
          <w:tcPr>
            <w:tcW w:w="974" w:type="dxa"/>
            <w:vMerge w:val="continue"/>
            <w:vAlign w:val="center"/>
          </w:tcPr>
          <w:p>
            <w:pPr>
              <w:spacing w:line="276" w:lineRule="auto"/>
              <w:rPr>
                <w:rFonts w:ascii="Times New Roman" w:hAnsi="Times New Roman" w:cs="Times New Roman"/>
                <w:sz w:val="24"/>
              </w:rPr>
            </w:pPr>
          </w:p>
        </w:tc>
        <w:tc>
          <w:tcPr>
            <w:tcW w:w="3064" w:type="dxa"/>
            <w:vMerge w:val="continue"/>
            <w:tcBorders>
              <w:right w:val="single" w:color="auto" w:sz="4" w:space="0"/>
            </w:tcBorders>
            <w:vAlign w:val="center"/>
          </w:tcPr>
          <w:p>
            <w:pPr>
              <w:spacing w:line="276" w:lineRule="auto"/>
              <w:rPr>
                <w:rFonts w:ascii="Times New Roman" w:hAnsi="Times New Roman" w:cs="Times New Roman"/>
                <w:sz w:val="24"/>
              </w:rPr>
            </w:pPr>
          </w:p>
        </w:tc>
        <w:tc>
          <w:tcPr>
            <w:tcW w:w="3060" w:type="dxa"/>
            <w:tcBorders>
              <w:top w:val="single" w:color="auto" w:sz="4" w:space="0"/>
              <w:right w:val="single" w:color="auto" w:sz="4" w:space="0"/>
            </w:tcBorders>
            <w:vAlign w:val="center"/>
          </w:tcPr>
          <w:p>
            <w:pPr>
              <w:spacing w:line="276" w:lineRule="auto"/>
              <w:rPr>
                <w:rFonts w:ascii="Times New Roman" w:hAnsi="Times New Roman" w:cs="Times New Roman"/>
                <w:sz w:val="24"/>
              </w:rPr>
            </w:pPr>
            <w:r>
              <w:rPr>
                <w:rFonts w:hint="eastAsia" w:ascii="Times New Roman" w:hAnsi="Times New Roman" w:cs="Times New Roman"/>
                <w:sz w:val="24"/>
              </w:rPr>
              <w:t>否（因招标代理机构原因）</w:t>
            </w:r>
          </w:p>
        </w:tc>
        <w:tc>
          <w:tcPr>
            <w:tcW w:w="735" w:type="dxa"/>
            <w:tcBorders>
              <w:top w:val="single" w:color="auto" w:sz="4" w:space="0"/>
            </w:tcBorders>
            <w:vAlign w:val="center"/>
          </w:tcPr>
          <w:p>
            <w:pPr>
              <w:spacing w:line="276" w:lineRule="auto"/>
              <w:rPr>
                <w:rFonts w:ascii="Times New Roman" w:hAnsi="Times New Roman" w:cs="Times New Roman"/>
                <w:sz w:val="24"/>
              </w:rPr>
            </w:pPr>
            <w:r>
              <w:rPr>
                <w:rFonts w:hint="eastAsia" w:ascii="Times New Roman" w:hAnsi="Times New Roman" w:cs="Times New Roman"/>
                <w:sz w:val="24"/>
              </w:rPr>
              <w:t>0</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31" w:hRule="atLeast"/>
          <w:tblHeader/>
        </w:trPr>
        <w:tc>
          <w:tcPr>
            <w:tcW w:w="576" w:type="dxa"/>
            <w:vMerge w:val="continue"/>
            <w:vAlign w:val="center"/>
          </w:tcPr>
          <w:p>
            <w:pPr>
              <w:spacing w:line="276" w:lineRule="auto"/>
              <w:rPr>
                <w:rFonts w:ascii="Times New Roman" w:hAnsi="Times New Roman" w:cs="Times New Roman"/>
                <w:sz w:val="24"/>
              </w:rPr>
            </w:pPr>
          </w:p>
        </w:tc>
        <w:tc>
          <w:tcPr>
            <w:tcW w:w="456" w:type="dxa"/>
            <w:vMerge w:val="restart"/>
            <w:vAlign w:val="center"/>
          </w:tcPr>
          <w:p>
            <w:pPr>
              <w:spacing w:line="276" w:lineRule="auto"/>
              <w:rPr>
                <w:rFonts w:ascii="Times New Roman" w:hAnsi="Times New Roman" w:cs="Times New Roman"/>
                <w:sz w:val="24"/>
              </w:rPr>
            </w:pPr>
            <w:r>
              <w:rPr>
                <w:rFonts w:hint="eastAsia" w:ascii="Times New Roman" w:hAnsi="Times New Roman" w:cs="Times New Roman"/>
                <w:sz w:val="24"/>
              </w:rPr>
              <w:t>15</w:t>
            </w:r>
          </w:p>
        </w:tc>
        <w:tc>
          <w:tcPr>
            <w:tcW w:w="974" w:type="dxa"/>
            <w:vMerge w:val="restart"/>
            <w:vAlign w:val="center"/>
          </w:tcPr>
          <w:p>
            <w:pPr>
              <w:spacing w:line="276" w:lineRule="auto"/>
              <w:rPr>
                <w:rFonts w:ascii="Times New Roman" w:hAnsi="Times New Roman" w:cs="Times New Roman"/>
                <w:sz w:val="24"/>
              </w:rPr>
            </w:pPr>
            <w:r>
              <w:rPr>
                <w:rFonts w:hint="eastAsia" w:ascii="Times New Roman" w:hAnsi="Times New Roman" w:cs="Times New Roman"/>
                <w:sz w:val="24"/>
              </w:rPr>
              <w:t>中标通知书发出</w:t>
            </w:r>
          </w:p>
        </w:tc>
        <w:tc>
          <w:tcPr>
            <w:tcW w:w="3064" w:type="dxa"/>
            <w:vMerge w:val="restart"/>
            <w:tcBorders>
              <w:right w:val="single" w:color="auto" w:sz="4" w:space="0"/>
            </w:tcBorders>
            <w:vAlign w:val="center"/>
          </w:tcPr>
          <w:p>
            <w:pPr>
              <w:spacing w:line="276" w:lineRule="auto"/>
              <w:rPr>
                <w:rFonts w:ascii="Times New Roman" w:hAnsi="Times New Roman" w:cs="Times New Roman"/>
                <w:sz w:val="24"/>
              </w:rPr>
            </w:pPr>
            <w:r>
              <w:rPr>
                <w:rFonts w:hint="eastAsia" w:ascii="Times New Roman" w:hAnsi="Times New Roman" w:cs="Times New Roman"/>
                <w:sz w:val="24"/>
              </w:rPr>
              <w:t>是否严格按照国家法律、法规及委托协议有关规定及时、准确发出中标通知书</w:t>
            </w:r>
          </w:p>
        </w:tc>
        <w:tc>
          <w:tcPr>
            <w:tcW w:w="3060" w:type="dxa"/>
            <w:tcBorders>
              <w:top w:val="single" w:color="auto" w:sz="4" w:space="0"/>
              <w:bottom w:val="single" w:color="auto" w:sz="4" w:space="0"/>
              <w:right w:val="single" w:color="auto" w:sz="4" w:space="0"/>
            </w:tcBorders>
            <w:vAlign w:val="center"/>
          </w:tcPr>
          <w:p>
            <w:pPr>
              <w:spacing w:line="276" w:lineRule="auto"/>
              <w:rPr>
                <w:rFonts w:ascii="Times New Roman" w:hAnsi="Times New Roman" w:cs="Times New Roman"/>
                <w:sz w:val="24"/>
              </w:rPr>
            </w:pPr>
            <w:r>
              <w:rPr>
                <w:rFonts w:hint="eastAsia" w:ascii="Times New Roman" w:hAnsi="Times New Roman" w:cs="Times New Roman"/>
                <w:sz w:val="24"/>
              </w:rPr>
              <w:t>是</w:t>
            </w:r>
          </w:p>
        </w:tc>
        <w:tc>
          <w:tcPr>
            <w:tcW w:w="735" w:type="dxa"/>
            <w:tcBorders>
              <w:top w:val="single" w:color="auto" w:sz="4" w:space="0"/>
              <w:bottom w:val="single" w:color="auto" w:sz="4" w:space="0"/>
            </w:tcBorders>
            <w:vAlign w:val="center"/>
          </w:tcPr>
          <w:p>
            <w:pPr>
              <w:spacing w:line="276" w:lineRule="auto"/>
              <w:rPr>
                <w:rFonts w:ascii="Times New Roman" w:hAnsi="Times New Roman" w:cs="Times New Roman"/>
                <w:sz w:val="24"/>
              </w:rPr>
            </w:pPr>
            <w:r>
              <w:rPr>
                <w:rFonts w:hint="eastAsia" w:ascii="Times New Roman" w:hAnsi="Times New Roman" w:cs="Times New Roman"/>
                <w:sz w:val="24"/>
              </w:rPr>
              <w:t>15</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73" w:hRule="atLeast"/>
          <w:tblHeader/>
        </w:trPr>
        <w:tc>
          <w:tcPr>
            <w:tcW w:w="576" w:type="dxa"/>
            <w:vMerge w:val="continue"/>
            <w:vAlign w:val="center"/>
          </w:tcPr>
          <w:p>
            <w:pPr>
              <w:spacing w:line="276" w:lineRule="auto"/>
              <w:rPr>
                <w:rFonts w:ascii="Times New Roman" w:hAnsi="Times New Roman" w:cs="Times New Roman"/>
                <w:sz w:val="24"/>
              </w:rPr>
            </w:pPr>
          </w:p>
        </w:tc>
        <w:tc>
          <w:tcPr>
            <w:tcW w:w="456" w:type="dxa"/>
            <w:vMerge w:val="continue"/>
            <w:vAlign w:val="center"/>
          </w:tcPr>
          <w:p>
            <w:pPr>
              <w:spacing w:line="276" w:lineRule="auto"/>
              <w:rPr>
                <w:rFonts w:ascii="Times New Roman" w:hAnsi="Times New Roman" w:cs="Times New Roman"/>
                <w:sz w:val="24"/>
              </w:rPr>
            </w:pPr>
          </w:p>
        </w:tc>
        <w:tc>
          <w:tcPr>
            <w:tcW w:w="974" w:type="dxa"/>
            <w:vMerge w:val="continue"/>
            <w:vAlign w:val="center"/>
          </w:tcPr>
          <w:p>
            <w:pPr>
              <w:spacing w:line="276" w:lineRule="auto"/>
              <w:rPr>
                <w:rFonts w:ascii="Times New Roman" w:hAnsi="Times New Roman" w:cs="Times New Roman"/>
                <w:sz w:val="24"/>
              </w:rPr>
            </w:pPr>
          </w:p>
        </w:tc>
        <w:tc>
          <w:tcPr>
            <w:tcW w:w="3064" w:type="dxa"/>
            <w:vMerge w:val="continue"/>
            <w:tcBorders>
              <w:right w:val="single" w:color="auto" w:sz="4" w:space="0"/>
            </w:tcBorders>
            <w:vAlign w:val="center"/>
          </w:tcPr>
          <w:p>
            <w:pPr>
              <w:spacing w:line="276" w:lineRule="auto"/>
              <w:rPr>
                <w:rFonts w:ascii="Times New Roman" w:hAnsi="Times New Roman" w:cs="Times New Roman"/>
                <w:sz w:val="24"/>
              </w:rPr>
            </w:pPr>
          </w:p>
        </w:tc>
        <w:tc>
          <w:tcPr>
            <w:tcW w:w="3060" w:type="dxa"/>
            <w:tcBorders>
              <w:top w:val="single" w:color="auto" w:sz="4" w:space="0"/>
              <w:right w:val="single" w:color="auto" w:sz="4" w:space="0"/>
            </w:tcBorders>
            <w:vAlign w:val="center"/>
          </w:tcPr>
          <w:p>
            <w:pPr>
              <w:spacing w:line="276" w:lineRule="auto"/>
              <w:rPr>
                <w:rFonts w:ascii="Times New Roman" w:hAnsi="Times New Roman" w:cs="Times New Roman"/>
                <w:sz w:val="24"/>
              </w:rPr>
            </w:pPr>
            <w:r>
              <w:rPr>
                <w:rFonts w:hint="eastAsia" w:ascii="Times New Roman" w:hAnsi="Times New Roman" w:cs="Times New Roman"/>
                <w:sz w:val="24"/>
              </w:rPr>
              <w:t>否（因招标代理机构原因）</w:t>
            </w:r>
          </w:p>
        </w:tc>
        <w:tc>
          <w:tcPr>
            <w:tcW w:w="735" w:type="dxa"/>
            <w:tcBorders>
              <w:top w:val="single" w:color="auto" w:sz="4" w:space="0"/>
            </w:tcBorders>
            <w:vAlign w:val="center"/>
          </w:tcPr>
          <w:p>
            <w:pPr>
              <w:spacing w:line="276" w:lineRule="auto"/>
              <w:rPr>
                <w:rFonts w:ascii="Times New Roman" w:hAnsi="Times New Roman" w:cs="Times New Roman"/>
                <w:sz w:val="24"/>
              </w:rPr>
            </w:pPr>
            <w:r>
              <w:rPr>
                <w:rFonts w:hint="eastAsia" w:ascii="Times New Roman" w:hAnsi="Times New Roman" w:cs="Times New Roman"/>
                <w:sz w:val="24"/>
              </w:rPr>
              <w:t>0</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68" w:hRule="atLeast"/>
          <w:tblHeader/>
        </w:trPr>
        <w:tc>
          <w:tcPr>
            <w:tcW w:w="576" w:type="dxa"/>
            <w:vMerge w:val="continue"/>
            <w:vAlign w:val="center"/>
          </w:tcPr>
          <w:p>
            <w:pPr>
              <w:spacing w:line="276" w:lineRule="auto"/>
              <w:rPr>
                <w:rFonts w:ascii="Times New Roman" w:hAnsi="Times New Roman" w:cs="Times New Roman"/>
                <w:sz w:val="24"/>
              </w:rPr>
            </w:pPr>
          </w:p>
        </w:tc>
        <w:tc>
          <w:tcPr>
            <w:tcW w:w="456" w:type="dxa"/>
            <w:vMerge w:val="restart"/>
            <w:vAlign w:val="center"/>
          </w:tcPr>
          <w:p>
            <w:pPr>
              <w:spacing w:line="276" w:lineRule="auto"/>
              <w:rPr>
                <w:rFonts w:ascii="Times New Roman" w:hAnsi="Times New Roman" w:cs="Times New Roman"/>
                <w:sz w:val="24"/>
              </w:rPr>
            </w:pPr>
            <w:r>
              <w:rPr>
                <w:rFonts w:hint="eastAsia" w:ascii="Times New Roman" w:hAnsi="Times New Roman" w:cs="Times New Roman"/>
                <w:sz w:val="24"/>
              </w:rPr>
              <w:t>20</w:t>
            </w:r>
          </w:p>
        </w:tc>
        <w:tc>
          <w:tcPr>
            <w:tcW w:w="974" w:type="dxa"/>
            <w:vMerge w:val="restart"/>
            <w:vAlign w:val="center"/>
          </w:tcPr>
          <w:p>
            <w:pPr>
              <w:spacing w:line="276" w:lineRule="auto"/>
              <w:rPr>
                <w:rFonts w:ascii="Times New Roman" w:hAnsi="Times New Roman" w:cs="Times New Roman"/>
                <w:sz w:val="24"/>
              </w:rPr>
            </w:pPr>
            <w:r>
              <w:rPr>
                <w:rFonts w:hint="eastAsia" w:ascii="Times New Roman" w:hAnsi="Times New Roman" w:cs="Times New Roman"/>
                <w:sz w:val="24"/>
              </w:rPr>
              <w:t>招标文件编制质量</w:t>
            </w:r>
          </w:p>
        </w:tc>
        <w:tc>
          <w:tcPr>
            <w:tcW w:w="3064" w:type="dxa"/>
            <w:vMerge w:val="restart"/>
            <w:tcBorders>
              <w:right w:val="single" w:color="auto" w:sz="4" w:space="0"/>
            </w:tcBorders>
            <w:vAlign w:val="center"/>
          </w:tcPr>
          <w:p>
            <w:pPr>
              <w:spacing w:line="276" w:lineRule="auto"/>
              <w:rPr>
                <w:rFonts w:ascii="Times New Roman" w:hAnsi="Times New Roman" w:cs="Times New Roman"/>
                <w:sz w:val="24"/>
              </w:rPr>
            </w:pPr>
            <w:r>
              <w:rPr>
                <w:rFonts w:hint="eastAsia" w:ascii="Times New Roman" w:hAnsi="Times New Roman" w:cs="Times New Roman"/>
                <w:sz w:val="24"/>
              </w:rPr>
              <w:t>因招标代理机构原因，招标文件编制出现错误、缺漏造成招标活动受影响</w:t>
            </w:r>
          </w:p>
        </w:tc>
        <w:tc>
          <w:tcPr>
            <w:tcW w:w="3060" w:type="dxa"/>
            <w:tcBorders>
              <w:top w:val="single" w:color="auto" w:sz="4" w:space="0"/>
              <w:right w:val="single" w:color="auto" w:sz="4" w:space="0"/>
            </w:tcBorders>
            <w:vAlign w:val="center"/>
          </w:tcPr>
          <w:p>
            <w:pPr>
              <w:spacing w:line="276" w:lineRule="auto"/>
              <w:rPr>
                <w:rFonts w:ascii="Times New Roman" w:hAnsi="Times New Roman" w:cs="Times New Roman"/>
                <w:sz w:val="24"/>
              </w:rPr>
            </w:pPr>
            <w:r>
              <w:rPr>
                <w:rFonts w:hint="eastAsia" w:ascii="Times New Roman" w:hAnsi="Times New Roman" w:cs="Times New Roman"/>
                <w:sz w:val="24"/>
              </w:rPr>
              <w:t>无澄清公告的</w:t>
            </w:r>
          </w:p>
        </w:tc>
        <w:tc>
          <w:tcPr>
            <w:tcW w:w="735" w:type="dxa"/>
            <w:tcBorders>
              <w:top w:val="single" w:color="auto" w:sz="4" w:space="0"/>
            </w:tcBorders>
            <w:vAlign w:val="center"/>
          </w:tcPr>
          <w:p>
            <w:pPr>
              <w:spacing w:line="276" w:lineRule="auto"/>
              <w:rPr>
                <w:rFonts w:ascii="Times New Roman" w:hAnsi="Times New Roman" w:cs="Times New Roman"/>
                <w:sz w:val="24"/>
              </w:rPr>
            </w:pPr>
            <w:r>
              <w:rPr>
                <w:rFonts w:hint="eastAsia" w:ascii="Times New Roman" w:hAnsi="Times New Roman" w:cs="Times New Roman"/>
                <w:sz w:val="24"/>
              </w:rPr>
              <w:t>20</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tblHeader/>
        </w:trPr>
        <w:tc>
          <w:tcPr>
            <w:tcW w:w="576" w:type="dxa"/>
            <w:vMerge w:val="continue"/>
            <w:vAlign w:val="center"/>
          </w:tcPr>
          <w:p>
            <w:pPr>
              <w:spacing w:line="276" w:lineRule="auto"/>
              <w:rPr>
                <w:rFonts w:ascii="Times New Roman" w:hAnsi="Times New Roman" w:cs="Times New Roman"/>
                <w:sz w:val="24"/>
              </w:rPr>
            </w:pPr>
          </w:p>
        </w:tc>
        <w:tc>
          <w:tcPr>
            <w:tcW w:w="456" w:type="dxa"/>
            <w:vMerge w:val="continue"/>
            <w:vAlign w:val="center"/>
          </w:tcPr>
          <w:p>
            <w:pPr>
              <w:spacing w:line="276" w:lineRule="auto"/>
              <w:rPr>
                <w:rFonts w:ascii="Times New Roman" w:hAnsi="Times New Roman" w:cs="Times New Roman"/>
                <w:sz w:val="24"/>
              </w:rPr>
            </w:pPr>
          </w:p>
        </w:tc>
        <w:tc>
          <w:tcPr>
            <w:tcW w:w="974" w:type="dxa"/>
            <w:vMerge w:val="continue"/>
            <w:vAlign w:val="center"/>
          </w:tcPr>
          <w:p>
            <w:pPr>
              <w:spacing w:line="276" w:lineRule="auto"/>
              <w:rPr>
                <w:rFonts w:ascii="Times New Roman" w:hAnsi="Times New Roman" w:cs="Times New Roman"/>
                <w:sz w:val="24"/>
              </w:rPr>
            </w:pPr>
          </w:p>
        </w:tc>
        <w:tc>
          <w:tcPr>
            <w:tcW w:w="3064" w:type="dxa"/>
            <w:vMerge w:val="continue"/>
            <w:tcBorders>
              <w:right w:val="single" w:color="auto" w:sz="4" w:space="0"/>
            </w:tcBorders>
            <w:vAlign w:val="center"/>
          </w:tcPr>
          <w:p>
            <w:pPr>
              <w:spacing w:line="276" w:lineRule="auto"/>
              <w:rPr>
                <w:rFonts w:ascii="Times New Roman" w:hAnsi="Times New Roman" w:cs="Times New Roman"/>
                <w:sz w:val="24"/>
              </w:rPr>
            </w:pPr>
          </w:p>
        </w:tc>
        <w:tc>
          <w:tcPr>
            <w:tcW w:w="3060" w:type="dxa"/>
            <w:tcBorders>
              <w:top w:val="single" w:color="auto" w:sz="4" w:space="0"/>
              <w:right w:val="single" w:color="auto" w:sz="4" w:space="0"/>
            </w:tcBorders>
            <w:vAlign w:val="center"/>
          </w:tcPr>
          <w:p>
            <w:pPr>
              <w:spacing w:line="276" w:lineRule="auto"/>
              <w:rPr>
                <w:rFonts w:ascii="Times New Roman" w:hAnsi="Times New Roman" w:cs="Times New Roman"/>
                <w:sz w:val="24"/>
              </w:rPr>
            </w:pPr>
            <w:r>
              <w:rPr>
                <w:rFonts w:hint="eastAsia" w:ascii="Times New Roman" w:hAnsi="Times New Roman" w:cs="Times New Roman"/>
                <w:sz w:val="24"/>
              </w:rPr>
              <w:t>发布澄清公告1次</w:t>
            </w:r>
          </w:p>
        </w:tc>
        <w:tc>
          <w:tcPr>
            <w:tcW w:w="735" w:type="dxa"/>
            <w:tcBorders>
              <w:top w:val="single" w:color="auto" w:sz="4" w:space="0"/>
            </w:tcBorders>
            <w:vAlign w:val="center"/>
          </w:tcPr>
          <w:p>
            <w:pPr>
              <w:spacing w:line="276" w:lineRule="auto"/>
              <w:rPr>
                <w:rFonts w:ascii="Times New Roman" w:hAnsi="Times New Roman" w:cs="Times New Roman"/>
                <w:sz w:val="24"/>
              </w:rPr>
            </w:pPr>
            <w:r>
              <w:rPr>
                <w:rFonts w:hint="eastAsia" w:ascii="Times New Roman" w:hAnsi="Times New Roman" w:cs="Times New Roman"/>
                <w:sz w:val="24"/>
              </w:rPr>
              <w:t>15</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02" w:hRule="atLeast"/>
          <w:tblHeader/>
        </w:trPr>
        <w:tc>
          <w:tcPr>
            <w:tcW w:w="576" w:type="dxa"/>
            <w:vMerge w:val="continue"/>
            <w:vAlign w:val="center"/>
          </w:tcPr>
          <w:p>
            <w:pPr>
              <w:spacing w:line="276" w:lineRule="auto"/>
              <w:rPr>
                <w:rFonts w:ascii="Times New Roman" w:hAnsi="Times New Roman" w:cs="Times New Roman"/>
                <w:sz w:val="24"/>
              </w:rPr>
            </w:pPr>
          </w:p>
        </w:tc>
        <w:tc>
          <w:tcPr>
            <w:tcW w:w="456" w:type="dxa"/>
            <w:vMerge w:val="continue"/>
            <w:vAlign w:val="center"/>
          </w:tcPr>
          <w:p>
            <w:pPr>
              <w:spacing w:line="276" w:lineRule="auto"/>
              <w:rPr>
                <w:rFonts w:ascii="Times New Roman" w:hAnsi="Times New Roman" w:cs="Times New Roman"/>
                <w:sz w:val="24"/>
              </w:rPr>
            </w:pPr>
          </w:p>
        </w:tc>
        <w:tc>
          <w:tcPr>
            <w:tcW w:w="974" w:type="dxa"/>
            <w:vMerge w:val="continue"/>
            <w:vAlign w:val="center"/>
          </w:tcPr>
          <w:p>
            <w:pPr>
              <w:spacing w:line="276" w:lineRule="auto"/>
              <w:rPr>
                <w:rFonts w:ascii="Times New Roman" w:hAnsi="Times New Roman" w:cs="Times New Roman"/>
                <w:sz w:val="24"/>
              </w:rPr>
            </w:pPr>
          </w:p>
        </w:tc>
        <w:tc>
          <w:tcPr>
            <w:tcW w:w="3064" w:type="dxa"/>
            <w:vMerge w:val="continue"/>
            <w:tcBorders>
              <w:right w:val="single" w:color="auto" w:sz="4" w:space="0"/>
            </w:tcBorders>
            <w:vAlign w:val="center"/>
          </w:tcPr>
          <w:p>
            <w:pPr>
              <w:spacing w:line="276" w:lineRule="auto"/>
              <w:rPr>
                <w:rFonts w:ascii="Times New Roman" w:hAnsi="Times New Roman" w:cs="Times New Roman"/>
                <w:sz w:val="24"/>
              </w:rPr>
            </w:pPr>
          </w:p>
        </w:tc>
        <w:tc>
          <w:tcPr>
            <w:tcW w:w="3060" w:type="dxa"/>
            <w:tcBorders>
              <w:top w:val="single" w:color="auto" w:sz="4" w:space="0"/>
              <w:right w:val="single" w:color="auto" w:sz="4" w:space="0"/>
            </w:tcBorders>
            <w:vAlign w:val="center"/>
          </w:tcPr>
          <w:p>
            <w:pPr>
              <w:spacing w:line="276" w:lineRule="auto"/>
              <w:rPr>
                <w:rFonts w:ascii="Times New Roman" w:hAnsi="Times New Roman" w:cs="Times New Roman"/>
                <w:sz w:val="24"/>
              </w:rPr>
            </w:pPr>
            <w:r>
              <w:rPr>
                <w:rFonts w:hint="eastAsia" w:ascii="Times New Roman" w:hAnsi="Times New Roman" w:cs="Times New Roman"/>
                <w:sz w:val="24"/>
              </w:rPr>
              <w:t>发布澄清公告2次</w:t>
            </w:r>
          </w:p>
        </w:tc>
        <w:tc>
          <w:tcPr>
            <w:tcW w:w="735" w:type="dxa"/>
            <w:tcBorders>
              <w:top w:val="single" w:color="auto" w:sz="4" w:space="0"/>
            </w:tcBorders>
            <w:vAlign w:val="center"/>
          </w:tcPr>
          <w:p>
            <w:pPr>
              <w:spacing w:line="276" w:lineRule="auto"/>
              <w:rPr>
                <w:rFonts w:ascii="Times New Roman" w:hAnsi="Times New Roman" w:cs="Times New Roman"/>
                <w:sz w:val="24"/>
              </w:rPr>
            </w:pPr>
            <w:r>
              <w:rPr>
                <w:rFonts w:hint="eastAsia" w:ascii="Times New Roman" w:hAnsi="Times New Roman" w:cs="Times New Roman"/>
                <w:sz w:val="24"/>
              </w:rPr>
              <w:t>10</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95" w:hRule="atLeast"/>
          <w:tblHeader/>
        </w:trPr>
        <w:tc>
          <w:tcPr>
            <w:tcW w:w="576" w:type="dxa"/>
            <w:vMerge w:val="continue"/>
            <w:vAlign w:val="center"/>
          </w:tcPr>
          <w:p>
            <w:pPr>
              <w:spacing w:line="276" w:lineRule="auto"/>
              <w:rPr>
                <w:rFonts w:ascii="Times New Roman" w:hAnsi="Times New Roman" w:cs="Times New Roman"/>
                <w:sz w:val="24"/>
              </w:rPr>
            </w:pPr>
          </w:p>
        </w:tc>
        <w:tc>
          <w:tcPr>
            <w:tcW w:w="456" w:type="dxa"/>
            <w:vMerge w:val="continue"/>
            <w:vAlign w:val="center"/>
          </w:tcPr>
          <w:p>
            <w:pPr>
              <w:spacing w:line="276" w:lineRule="auto"/>
              <w:rPr>
                <w:rFonts w:ascii="Times New Roman" w:hAnsi="Times New Roman" w:cs="Times New Roman"/>
                <w:sz w:val="24"/>
              </w:rPr>
            </w:pPr>
          </w:p>
        </w:tc>
        <w:tc>
          <w:tcPr>
            <w:tcW w:w="974" w:type="dxa"/>
            <w:vMerge w:val="continue"/>
            <w:vAlign w:val="center"/>
          </w:tcPr>
          <w:p>
            <w:pPr>
              <w:spacing w:line="276" w:lineRule="auto"/>
              <w:rPr>
                <w:rFonts w:ascii="Times New Roman" w:hAnsi="Times New Roman" w:cs="Times New Roman"/>
                <w:sz w:val="24"/>
              </w:rPr>
            </w:pPr>
          </w:p>
        </w:tc>
        <w:tc>
          <w:tcPr>
            <w:tcW w:w="3064" w:type="dxa"/>
            <w:vMerge w:val="continue"/>
            <w:tcBorders>
              <w:right w:val="single" w:color="auto" w:sz="4" w:space="0"/>
            </w:tcBorders>
            <w:vAlign w:val="center"/>
          </w:tcPr>
          <w:p>
            <w:pPr>
              <w:spacing w:line="276" w:lineRule="auto"/>
              <w:rPr>
                <w:rFonts w:ascii="Times New Roman" w:hAnsi="Times New Roman" w:cs="Times New Roman"/>
                <w:sz w:val="24"/>
              </w:rPr>
            </w:pPr>
          </w:p>
        </w:tc>
        <w:tc>
          <w:tcPr>
            <w:tcW w:w="3060" w:type="dxa"/>
            <w:tcBorders>
              <w:top w:val="single" w:color="auto" w:sz="4" w:space="0"/>
              <w:right w:val="single" w:color="auto" w:sz="4" w:space="0"/>
            </w:tcBorders>
            <w:vAlign w:val="center"/>
          </w:tcPr>
          <w:p>
            <w:pPr>
              <w:spacing w:line="276" w:lineRule="auto"/>
              <w:rPr>
                <w:rFonts w:ascii="Times New Roman" w:hAnsi="Times New Roman" w:cs="Times New Roman"/>
                <w:sz w:val="24"/>
              </w:rPr>
            </w:pPr>
            <w:r>
              <w:rPr>
                <w:rFonts w:hint="eastAsia" w:ascii="Times New Roman" w:hAnsi="Times New Roman" w:cs="Times New Roman"/>
                <w:sz w:val="24"/>
              </w:rPr>
              <w:t>发布澄清公告3次及以上</w:t>
            </w:r>
          </w:p>
        </w:tc>
        <w:tc>
          <w:tcPr>
            <w:tcW w:w="735" w:type="dxa"/>
            <w:tcBorders>
              <w:top w:val="single" w:color="auto" w:sz="4" w:space="0"/>
            </w:tcBorders>
            <w:vAlign w:val="center"/>
          </w:tcPr>
          <w:p>
            <w:pPr>
              <w:spacing w:line="276" w:lineRule="auto"/>
              <w:rPr>
                <w:rFonts w:ascii="Times New Roman" w:hAnsi="Times New Roman" w:cs="Times New Roman"/>
                <w:sz w:val="24"/>
              </w:rPr>
            </w:pPr>
            <w:r>
              <w:rPr>
                <w:rFonts w:hint="eastAsia" w:ascii="Times New Roman" w:hAnsi="Times New Roman" w:cs="Times New Roman"/>
                <w:sz w:val="24"/>
              </w:rPr>
              <w:t>0</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20" w:hRule="atLeast"/>
          <w:tblHeader/>
        </w:trPr>
        <w:tc>
          <w:tcPr>
            <w:tcW w:w="576" w:type="dxa"/>
            <w:vMerge w:val="continue"/>
            <w:vAlign w:val="center"/>
          </w:tcPr>
          <w:p>
            <w:pPr>
              <w:spacing w:line="276" w:lineRule="auto"/>
              <w:rPr>
                <w:rFonts w:ascii="Times New Roman" w:hAnsi="Times New Roman" w:cs="Times New Roman"/>
                <w:sz w:val="24"/>
              </w:rPr>
            </w:pPr>
          </w:p>
        </w:tc>
        <w:tc>
          <w:tcPr>
            <w:tcW w:w="456" w:type="dxa"/>
            <w:vMerge w:val="restart"/>
            <w:vAlign w:val="center"/>
          </w:tcPr>
          <w:p>
            <w:pPr>
              <w:spacing w:line="276" w:lineRule="auto"/>
              <w:rPr>
                <w:rFonts w:ascii="Times New Roman" w:hAnsi="Times New Roman" w:cs="Times New Roman"/>
                <w:sz w:val="24"/>
              </w:rPr>
            </w:pPr>
            <w:r>
              <w:rPr>
                <w:rFonts w:hint="eastAsia" w:ascii="Times New Roman" w:hAnsi="Times New Roman" w:cs="Times New Roman"/>
                <w:sz w:val="24"/>
              </w:rPr>
              <w:t>20</w:t>
            </w:r>
          </w:p>
        </w:tc>
        <w:tc>
          <w:tcPr>
            <w:tcW w:w="974" w:type="dxa"/>
            <w:vMerge w:val="restart"/>
            <w:vAlign w:val="center"/>
          </w:tcPr>
          <w:p>
            <w:pPr>
              <w:spacing w:line="276" w:lineRule="auto"/>
              <w:rPr>
                <w:rFonts w:ascii="Times New Roman" w:hAnsi="Times New Roman" w:cs="Times New Roman"/>
                <w:sz w:val="24"/>
              </w:rPr>
            </w:pPr>
            <w:r>
              <w:rPr>
                <w:rFonts w:hint="eastAsia" w:ascii="Times New Roman" w:hAnsi="Times New Roman" w:cs="Times New Roman"/>
                <w:sz w:val="24"/>
              </w:rPr>
              <w:t>预控价编制质量</w:t>
            </w:r>
          </w:p>
        </w:tc>
        <w:tc>
          <w:tcPr>
            <w:tcW w:w="3064" w:type="dxa"/>
            <w:vMerge w:val="restart"/>
            <w:tcBorders>
              <w:right w:val="single" w:color="auto" w:sz="4" w:space="0"/>
            </w:tcBorders>
            <w:vAlign w:val="center"/>
          </w:tcPr>
          <w:p>
            <w:pPr>
              <w:spacing w:line="276" w:lineRule="auto"/>
              <w:rPr>
                <w:rFonts w:ascii="Times New Roman" w:hAnsi="Times New Roman" w:cs="Times New Roman"/>
                <w:sz w:val="24"/>
              </w:rPr>
            </w:pPr>
            <w:r>
              <w:rPr>
                <w:rFonts w:hint="eastAsia" w:ascii="Times New Roman" w:hAnsi="Times New Roman" w:cs="Times New Roman"/>
                <w:sz w:val="24"/>
              </w:rPr>
              <w:t>因招标代理机构原因，编制的预控价经审定后出现与图纸不符、信息价不实、缺项漏项较多、金额误差较大等现象的，经审定核减率</w:t>
            </w:r>
          </w:p>
        </w:tc>
        <w:tc>
          <w:tcPr>
            <w:tcW w:w="3060" w:type="dxa"/>
            <w:tcBorders>
              <w:left w:val="single" w:color="auto" w:sz="4" w:space="0"/>
              <w:right w:val="single" w:color="auto" w:sz="4" w:space="0"/>
            </w:tcBorders>
            <w:vAlign w:val="center"/>
          </w:tcPr>
          <w:p>
            <w:pPr>
              <w:spacing w:line="276" w:lineRule="auto"/>
              <w:rPr>
                <w:rFonts w:ascii="Times New Roman" w:hAnsi="Times New Roman" w:cs="Times New Roman"/>
                <w:sz w:val="24"/>
              </w:rPr>
            </w:pPr>
            <w:r>
              <w:rPr>
                <w:rFonts w:hint="eastAsia" w:ascii="Times New Roman" w:hAnsi="Times New Roman" w:cs="Times New Roman"/>
                <w:sz w:val="24"/>
              </w:rPr>
              <w:t>在3%以内</w:t>
            </w:r>
          </w:p>
        </w:tc>
        <w:tc>
          <w:tcPr>
            <w:tcW w:w="735" w:type="dxa"/>
            <w:tcBorders>
              <w:left w:val="single" w:color="auto" w:sz="4" w:space="0"/>
            </w:tcBorders>
            <w:vAlign w:val="center"/>
          </w:tcPr>
          <w:p>
            <w:pPr>
              <w:spacing w:line="276" w:lineRule="auto"/>
              <w:rPr>
                <w:rFonts w:ascii="Times New Roman" w:hAnsi="Times New Roman" w:cs="Times New Roman"/>
                <w:sz w:val="24"/>
              </w:rPr>
            </w:pPr>
            <w:r>
              <w:rPr>
                <w:rFonts w:hint="eastAsia" w:ascii="Times New Roman" w:hAnsi="Times New Roman" w:cs="Times New Roman"/>
                <w:sz w:val="24"/>
              </w:rPr>
              <w:t>20</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20" w:hRule="atLeast"/>
          <w:tblHeader/>
        </w:trPr>
        <w:tc>
          <w:tcPr>
            <w:tcW w:w="576" w:type="dxa"/>
            <w:vMerge w:val="continue"/>
            <w:vAlign w:val="center"/>
          </w:tcPr>
          <w:p>
            <w:pPr>
              <w:spacing w:line="276" w:lineRule="auto"/>
              <w:rPr>
                <w:rFonts w:ascii="Times New Roman" w:hAnsi="Times New Roman" w:cs="Times New Roman"/>
                <w:sz w:val="24"/>
              </w:rPr>
            </w:pPr>
          </w:p>
        </w:tc>
        <w:tc>
          <w:tcPr>
            <w:tcW w:w="456" w:type="dxa"/>
            <w:vMerge w:val="continue"/>
            <w:vAlign w:val="center"/>
          </w:tcPr>
          <w:p>
            <w:pPr>
              <w:spacing w:line="276" w:lineRule="auto"/>
              <w:rPr>
                <w:rFonts w:ascii="Times New Roman" w:hAnsi="Times New Roman" w:cs="Times New Roman"/>
                <w:sz w:val="24"/>
              </w:rPr>
            </w:pPr>
          </w:p>
        </w:tc>
        <w:tc>
          <w:tcPr>
            <w:tcW w:w="974" w:type="dxa"/>
            <w:vMerge w:val="continue"/>
            <w:vAlign w:val="center"/>
          </w:tcPr>
          <w:p>
            <w:pPr>
              <w:spacing w:line="276" w:lineRule="auto"/>
              <w:rPr>
                <w:rFonts w:ascii="Times New Roman" w:hAnsi="Times New Roman" w:cs="Times New Roman"/>
                <w:sz w:val="24"/>
              </w:rPr>
            </w:pPr>
          </w:p>
        </w:tc>
        <w:tc>
          <w:tcPr>
            <w:tcW w:w="3064" w:type="dxa"/>
            <w:vMerge w:val="continue"/>
            <w:tcBorders>
              <w:right w:val="single" w:color="auto" w:sz="4" w:space="0"/>
            </w:tcBorders>
            <w:vAlign w:val="center"/>
          </w:tcPr>
          <w:p>
            <w:pPr>
              <w:spacing w:line="276" w:lineRule="auto"/>
              <w:rPr>
                <w:rFonts w:ascii="Times New Roman" w:hAnsi="Times New Roman" w:cs="Times New Roman"/>
                <w:sz w:val="24"/>
              </w:rPr>
            </w:pPr>
          </w:p>
        </w:tc>
        <w:tc>
          <w:tcPr>
            <w:tcW w:w="3060" w:type="dxa"/>
            <w:tcBorders>
              <w:top w:val="single" w:color="auto" w:sz="4" w:space="0"/>
              <w:left w:val="single" w:color="auto" w:sz="4" w:space="0"/>
              <w:right w:val="single" w:color="auto" w:sz="4" w:space="0"/>
            </w:tcBorders>
            <w:vAlign w:val="center"/>
          </w:tcPr>
          <w:p>
            <w:pPr>
              <w:spacing w:line="276" w:lineRule="auto"/>
              <w:rPr>
                <w:rFonts w:ascii="Times New Roman" w:hAnsi="Times New Roman" w:cs="Times New Roman"/>
                <w:sz w:val="24"/>
              </w:rPr>
            </w:pPr>
            <w:r>
              <w:rPr>
                <w:rFonts w:hint="eastAsia" w:ascii="Times New Roman" w:hAnsi="Times New Roman" w:cs="Times New Roman"/>
                <w:sz w:val="24"/>
              </w:rPr>
              <w:t>在6%以内</w:t>
            </w:r>
          </w:p>
        </w:tc>
        <w:tc>
          <w:tcPr>
            <w:tcW w:w="735" w:type="dxa"/>
            <w:tcBorders>
              <w:top w:val="single" w:color="auto" w:sz="4" w:space="0"/>
            </w:tcBorders>
            <w:vAlign w:val="center"/>
          </w:tcPr>
          <w:p>
            <w:pPr>
              <w:spacing w:line="276" w:lineRule="auto"/>
              <w:rPr>
                <w:rFonts w:ascii="Times New Roman" w:hAnsi="Times New Roman" w:cs="Times New Roman"/>
                <w:sz w:val="24"/>
              </w:rPr>
            </w:pPr>
            <w:r>
              <w:rPr>
                <w:rFonts w:hint="eastAsia" w:ascii="Times New Roman" w:hAnsi="Times New Roman" w:cs="Times New Roman"/>
                <w:sz w:val="24"/>
              </w:rPr>
              <w:t>15</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20" w:hRule="atLeast"/>
          <w:tblHeader/>
        </w:trPr>
        <w:tc>
          <w:tcPr>
            <w:tcW w:w="576" w:type="dxa"/>
            <w:vMerge w:val="continue"/>
            <w:vAlign w:val="center"/>
          </w:tcPr>
          <w:p>
            <w:pPr>
              <w:spacing w:line="276" w:lineRule="auto"/>
              <w:rPr>
                <w:rFonts w:ascii="Times New Roman" w:hAnsi="Times New Roman" w:cs="Times New Roman"/>
                <w:sz w:val="24"/>
              </w:rPr>
            </w:pPr>
          </w:p>
        </w:tc>
        <w:tc>
          <w:tcPr>
            <w:tcW w:w="456" w:type="dxa"/>
            <w:vMerge w:val="continue"/>
            <w:vAlign w:val="center"/>
          </w:tcPr>
          <w:p>
            <w:pPr>
              <w:spacing w:line="276" w:lineRule="auto"/>
              <w:rPr>
                <w:rFonts w:ascii="Times New Roman" w:hAnsi="Times New Roman" w:cs="Times New Roman"/>
                <w:sz w:val="24"/>
              </w:rPr>
            </w:pPr>
          </w:p>
        </w:tc>
        <w:tc>
          <w:tcPr>
            <w:tcW w:w="974" w:type="dxa"/>
            <w:vMerge w:val="continue"/>
            <w:vAlign w:val="center"/>
          </w:tcPr>
          <w:p>
            <w:pPr>
              <w:spacing w:line="276" w:lineRule="auto"/>
              <w:rPr>
                <w:rFonts w:ascii="Times New Roman" w:hAnsi="Times New Roman" w:cs="Times New Roman"/>
                <w:sz w:val="24"/>
              </w:rPr>
            </w:pPr>
          </w:p>
        </w:tc>
        <w:tc>
          <w:tcPr>
            <w:tcW w:w="3064" w:type="dxa"/>
            <w:vMerge w:val="continue"/>
            <w:tcBorders>
              <w:right w:val="single" w:color="auto" w:sz="4" w:space="0"/>
            </w:tcBorders>
            <w:vAlign w:val="center"/>
          </w:tcPr>
          <w:p>
            <w:pPr>
              <w:spacing w:line="276" w:lineRule="auto"/>
              <w:rPr>
                <w:rFonts w:ascii="Times New Roman" w:hAnsi="Times New Roman" w:cs="Times New Roman"/>
                <w:sz w:val="24"/>
              </w:rPr>
            </w:pPr>
          </w:p>
        </w:tc>
        <w:tc>
          <w:tcPr>
            <w:tcW w:w="3060" w:type="dxa"/>
            <w:tcBorders>
              <w:top w:val="single" w:color="auto" w:sz="4" w:space="0"/>
              <w:left w:val="single" w:color="auto" w:sz="4" w:space="0"/>
              <w:right w:val="single" w:color="auto" w:sz="4" w:space="0"/>
            </w:tcBorders>
            <w:vAlign w:val="center"/>
          </w:tcPr>
          <w:p>
            <w:pPr>
              <w:spacing w:line="276" w:lineRule="auto"/>
              <w:rPr>
                <w:rFonts w:ascii="Times New Roman" w:hAnsi="Times New Roman" w:cs="Times New Roman"/>
                <w:sz w:val="24"/>
              </w:rPr>
            </w:pPr>
            <w:r>
              <w:rPr>
                <w:rFonts w:hint="eastAsia" w:ascii="Times New Roman" w:hAnsi="Times New Roman" w:cs="Times New Roman"/>
                <w:sz w:val="24"/>
              </w:rPr>
              <w:t>在10%以内</w:t>
            </w:r>
          </w:p>
        </w:tc>
        <w:tc>
          <w:tcPr>
            <w:tcW w:w="735" w:type="dxa"/>
            <w:tcBorders>
              <w:top w:val="single" w:color="auto" w:sz="4" w:space="0"/>
            </w:tcBorders>
            <w:vAlign w:val="center"/>
          </w:tcPr>
          <w:p>
            <w:pPr>
              <w:spacing w:line="276" w:lineRule="auto"/>
              <w:rPr>
                <w:rFonts w:ascii="Times New Roman" w:hAnsi="Times New Roman" w:cs="Times New Roman"/>
                <w:sz w:val="24"/>
              </w:rPr>
            </w:pPr>
            <w:r>
              <w:rPr>
                <w:rFonts w:hint="eastAsia" w:ascii="Times New Roman" w:hAnsi="Times New Roman" w:cs="Times New Roman"/>
                <w:sz w:val="24"/>
              </w:rPr>
              <w:t>10</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20" w:hRule="atLeast"/>
          <w:tblHeader/>
        </w:trPr>
        <w:tc>
          <w:tcPr>
            <w:tcW w:w="576" w:type="dxa"/>
            <w:vMerge w:val="continue"/>
            <w:vAlign w:val="center"/>
          </w:tcPr>
          <w:p>
            <w:pPr>
              <w:spacing w:line="276" w:lineRule="auto"/>
              <w:rPr>
                <w:rFonts w:ascii="Times New Roman" w:hAnsi="Times New Roman" w:cs="Times New Roman"/>
                <w:sz w:val="24"/>
              </w:rPr>
            </w:pPr>
          </w:p>
        </w:tc>
        <w:tc>
          <w:tcPr>
            <w:tcW w:w="456" w:type="dxa"/>
            <w:vMerge w:val="continue"/>
            <w:vAlign w:val="center"/>
          </w:tcPr>
          <w:p>
            <w:pPr>
              <w:spacing w:line="276" w:lineRule="auto"/>
              <w:rPr>
                <w:rFonts w:ascii="Times New Roman" w:hAnsi="Times New Roman" w:cs="Times New Roman"/>
                <w:sz w:val="24"/>
              </w:rPr>
            </w:pPr>
          </w:p>
        </w:tc>
        <w:tc>
          <w:tcPr>
            <w:tcW w:w="974" w:type="dxa"/>
            <w:vMerge w:val="continue"/>
            <w:vAlign w:val="center"/>
          </w:tcPr>
          <w:p>
            <w:pPr>
              <w:spacing w:line="276" w:lineRule="auto"/>
              <w:rPr>
                <w:rFonts w:ascii="Times New Roman" w:hAnsi="Times New Roman" w:cs="Times New Roman"/>
                <w:sz w:val="24"/>
              </w:rPr>
            </w:pPr>
          </w:p>
        </w:tc>
        <w:tc>
          <w:tcPr>
            <w:tcW w:w="3064" w:type="dxa"/>
            <w:vMerge w:val="continue"/>
            <w:tcBorders>
              <w:right w:val="single" w:color="auto" w:sz="4" w:space="0"/>
            </w:tcBorders>
            <w:vAlign w:val="center"/>
          </w:tcPr>
          <w:p>
            <w:pPr>
              <w:spacing w:line="276" w:lineRule="auto"/>
              <w:rPr>
                <w:rFonts w:ascii="Times New Roman" w:hAnsi="Times New Roman" w:cs="Times New Roman"/>
                <w:sz w:val="24"/>
              </w:rPr>
            </w:pPr>
          </w:p>
        </w:tc>
        <w:tc>
          <w:tcPr>
            <w:tcW w:w="3060" w:type="dxa"/>
            <w:tcBorders>
              <w:top w:val="single" w:color="auto" w:sz="4" w:space="0"/>
              <w:left w:val="single" w:color="auto" w:sz="4" w:space="0"/>
              <w:right w:val="single" w:color="auto" w:sz="4" w:space="0"/>
            </w:tcBorders>
            <w:vAlign w:val="center"/>
          </w:tcPr>
          <w:p>
            <w:pPr>
              <w:spacing w:line="276" w:lineRule="auto"/>
              <w:rPr>
                <w:rFonts w:ascii="Times New Roman" w:hAnsi="Times New Roman" w:cs="Times New Roman"/>
                <w:sz w:val="24"/>
              </w:rPr>
            </w:pPr>
            <w:r>
              <w:rPr>
                <w:rFonts w:hint="eastAsia" w:ascii="Times New Roman" w:hAnsi="Times New Roman" w:cs="Times New Roman"/>
                <w:sz w:val="24"/>
              </w:rPr>
              <w:t>在10%以上</w:t>
            </w:r>
          </w:p>
        </w:tc>
        <w:tc>
          <w:tcPr>
            <w:tcW w:w="735" w:type="dxa"/>
            <w:tcBorders>
              <w:top w:val="single" w:color="auto" w:sz="4" w:space="0"/>
            </w:tcBorders>
            <w:vAlign w:val="center"/>
          </w:tcPr>
          <w:p>
            <w:pPr>
              <w:spacing w:line="276" w:lineRule="auto"/>
              <w:rPr>
                <w:rFonts w:ascii="Times New Roman" w:hAnsi="Times New Roman" w:cs="Times New Roman"/>
                <w:sz w:val="24"/>
              </w:rPr>
            </w:pPr>
            <w:r>
              <w:rPr>
                <w:rFonts w:hint="eastAsia" w:ascii="Times New Roman" w:hAnsi="Times New Roman" w:cs="Times New Roman"/>
                <w:sz w:val="24"/>
              </w:rPr>
              <w:t>0</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74" w:hRule="atLeast"/>
          <w:tblHeader/>
        </w:trPr>
        <w:tc>
          <w:tcPr>
            <w:tcW w:w="576" w:type="dxa"/>
            <w:vMerge w:val="continue"/>
            <w:vAlign w:val="center"/>
          </w:tcPr>
          <w:p>
            <w:pPr>
              <w:spacing w:line="276" w:lineRule="auto"/>
              <w:rPr>
                <w:rFonts w:ascii="Times New Roman" w:hAnsi="Times New Roman" w:cs="Times New Roman"/>
                <w:sz w:val="24"/>
              </w:rPr>
            </w:pPr>
          </w:p>
        </w:tc>
        <w:tc>
          <w:tcPr>
            <w:tcW w:w="456" w:type="dxa"/>
            <w:vMerge w:val="restart"/>
            <w:vAlign w:val="center"/>
          </w:tcPr>
          <w:p>
            <w:pPr>
              <w:spacing w:line="276" w:lineRule="auto"/>
              <w:rPr>
                <w:rFonts w:ascii="Times New Roman" w:hAnsi="Times New Roman" w:cs="Times New Roman"/>
                <w:sz w:val="24"/>
              </w:rPr>
            </w:pPr>
            <w:r>
              <w:rPr>
                <w:rFonts w:hint="eastAsia" w:ascii="Times New Roman" w:hAnsi="Times New Roman" w:cs="Times New Roman"/>
                <w:sz w:val="24"/>
              </w:rPr>
              <w:t>20</w:t>
            </w:r>
          </w:p>
        </w:tc>
        <w:tc>
          <w:tcPr>
            <w:tcW w:w="974" w:type="dxa"/>
            <w:vMerge w:val="restart"/>
            <w:vAlign w:val="center"/>
          </w:tcPr>
          <w:p>
            <w:pPr>
              <w:spacing w:line="276" w:lineRule="auto"/>
              <w:rPr>
                <w:rFonts w:ascii="Times New Roman" w:hAnsi="Times New Roman" w:cs="Times New Roman"/>
                <w:sz w:val="24"/>
              </w:rPr>
            </w:pPr>
            <w:r>
              <w:rPr>
                <w:rFonts w:hint="eastAsia" w:ascii="Times New Roman" w:hAnsi="Times New Roman" w:cs="Times New Roman"/>
                <w:sz w:val="24"/>
              </w:rPr>
              <w:t>招标异议处理</w:t>
            </w:r>
          </w:p>
        </w:tc>
        <w:tc>
          <w:tcPr>
            <w:tcW w:w="3064" w:type="dxa"/>
            <w:vMerge w:val="restart"/>
            <w:tcBorders>
              <w:right w:val="single" w:color="auto" w:sz="4" w:space="0"/>
            </w:tcBorders>
            <w:vAlign w:val="center"/>
          </w:tcPr>
          <w:p>
            <w:pPr>
              <w:spacing w:line="276" w:lineRule="auto"/>
              <w:rPr>
                <w:rFonts w:ascii="Times New Roman" w:hAnsi="Times New Roman" w:cs="Times New Roman"/>
                <w:sz w:val="24"/>
              </w:rPr>
            </w:pPr>
            <w:r>
              <w:rPr>
                <w:rFonts w:hint="eastAsia" w:ascii="Times New Roman" w:hAnsi="Times New Roman" w:cs="Times New Roman"/>
                <w:sz w:val="24"/>
              </w:rPr>
              <w:t>因招标代理机构原因，对潜在投标人针对招标文件、招标活动的投诉处理</w:t>
            </w:r>
          </w:p>
        </w:tc>
        <w:tc>
          <w:tcPr>
            <w:tcW w:w="3060"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Times New Roman" w:hAnsi="Times New Roman" w:cs="Times New Roman"/>
                <w:sz w:val="24"/>
              </w:rPr>
            </w:pPr>
            <w:r>
              <w:rPr>
                <w:rFonts w:hint="eastAsia" w:ascii="Times New Roman" w:hAnsi="Times New Roman" w:cs="Times New Roman"/>
                <w:sz w:val="24"/>
              </w:rPr>
              <w:t>无异议的</w:t>
            </w:r>
          </w:p>
        </w:tc>
        <w:tc>
          <w:tcPr>
            <w:tcW w:w="735" w:type="dxa"/>
            <w:tcBorders>
              <w:top w:val="single" w:color="auto" w:sz="4" w:space="0"/>
              <w:bottom w:val="single" w:color="auto" w:sz="4" w:space="0"/>
            </w:tcBorders>
            <w:vAlign w:val="center"/>
          </w:tcPr>
          <w:p>
            <w:pPr>
              <w:spacing w:line="276" w:lineRule="auto"/>
              <w:rPr>
                <w:rFonts w:ascii="Times New Roman" w:hAnsi="Times New Roman" w:cs="Times New Roman"/>
                <w:sz w:val="24"/>
              </w:rPr>
            </w:pPr>
            <w:r>
              <w:rPr>
                <w:rFonts w:hint="eastAsia" w:ascii="Times New Roman" w:hAnsi="Times New Roman" w:cs="Times New Roman"/>
                <w:sz w:val="24"/>
              </w:rPr>
              <w:t>20</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1" w:hRule="atLeast"/>
          <w:tblHeader/>
        </w:trPr>
        <w:tc>
          <w:tcPr>
            <w:tcW w:w="576" w:type="dxa"/>
            <w:vMerge w:val="continue"/>
            <w:vAlign w:val="center"/>
          </w:tcPr>
          <w:p>
            <w:pPr>
              <w:spacing w:line="276" w:lineRule="auto"/>
              <w:rPr>
                <w:rFonts w:ascii="Times New Roman" w:hAnsi="Times New Roman" w:cs="Times New Roman"/>
                <w:sz w:val="24"/>
              </w:rPr>
            </w:pPr>
          </w:p>
        </w:tc>
        <w:tc>
          <w:tcPr>
            <w:tcW w:w="456" w:type="dxa"/>
            <w:vMerge w:val="continue"/>
            <w:vAlign w:val="center"/>
          </w:tcPr>
          <w:p>
            <w:pPr>
              <w:spacing w:line="276" w:lineRule="auto"/>
              <w:rPr>
                <w:rFonts w:ascii="Times New Roman" w:hAnsi="Times New Roman" w:cs="Times New Roman"/>
                <w:sz w:val="24"/>
              </w:rPr>
            </w:pPr>
          </w:p>
        </w:tc>
        <w:tc>
          <w:tcPr>
            <w:tcW w:w="974" w:type="dxa"/>
            <w:vMerge w:val="continue"/>
            <w:vAlign w:val="center"/>
          </w:tcPr>
          <w:p>
            <w:pPr>
              <w:spacing w:line="276" w:lineRule="auto"/>
              <w:rPr>
                <w:rFonts w:ascii="Times New Roman" w:hAnsi="Times New Roman" w:cs="Times New Roman"/>
                <w:sz w:val="24"/>
              </w:rPr>
            </w:pPr>
          </w:p>
        </w:tc>
        <w:tc>
          <w:tcPr>
            <w:tcW w:w="3064" w:type="dxa"/>
            <w:vMerge w:val="continue"/>
            <w:tcBorders>
              <w:right w:val="single" w:color="auto" w:sz="4" w:space="0"/>
            </w:tcBorders>
            <w:vAlign w:val="center"/>
          </w:tcPr>
          <w:p>
            <w:pPr>
              <w:spacing w:line="276" w:lineRule="auto"/>
              <w:rPr>
                <w:rFonts w:ascii="Times New Roman" w:hAnsi="Times New Roman" w:cs="Times New Roman"/>
                <w:sz w:val="24"/>
              </w:rPr>
            </w:pPr>
          </w:p>
        </w:tc>
        <w:tc>
          <w:tcPr>
            <w:tcW w:w="3060"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Times New Roman" w:hAnsi="Times New Roman" w:cs="Times New Roman"/>
                <w:sz w:val="24"/>
              </w:rPr>
            </w:pPr>
            <w:r>
              <w:rPr>
                <w:rFonts w:hint="eastAsia" w:ascii="Times New Roman" w:hAnsi="Times New Roman" w:cs="Times New Roman"/>
                <w:sz w:val="24"/>
              </w:rPr>
              <w:t>有异议但未影响正常开标</w:t>
            </w:r>
          </w:p>
        </w:tc>
        <w:tc>
          <w:tcPr>
            <w:tcW w:w="735" w:type="dxa"/>
            <w:tcBorders>
              <w:top w:val="single" w:color="auto" w:sz="4" w:space="0"/>
              <w:bottom w:val="single" w:color="auto" w:sz="4" w:space="0"/>
            </w:tcBorders>
            <w:vAlign w:val="center"/>
          </w:tcPr>
          <w:p>
            <w:pPr>
              <w:spacing w:line="276" w:lineRule="auto"/>
              <w:rPr>
                <w:rFonts w:ascii="Times New Roman" w:hAnsi="Times New Roman" w:cs="Times New Roman"/>
                <w:sz w:val="24"/>
              </w:rPr>
            </w:pPr>
            <w:r>
              <w:rPr>
                <w:rFonts w:hint="eastAsia" w:ascii="Times New Roman" w:hAnsi="Times New Roman" w:cs="Times New Roman"/>
                <w:sz w:val="24"/>
              </w:rPr>
              <w:t>10</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31" w:hRule="atLeast"/>
          <w:tblHeader/>
        </w:trPr>
        <w:tc>
          <w:tcPr>
            <w:tcW w:w="576" w:type="dxa"/>
            <w:vMerge w:val="continue"/>
            <w:vAlign w:val="center"/>
          </w:tcPr>
          <w:p>
            <w:pPr>
              <w:spacing w:line="276" w:lineRule="auto"/>
              <w:rPr>
                <w:rFonts w:ascii="Times New Roman" w:hAnsi="Times New Roman" w:cs="Times New Roman"/>
                <w:sz w:val="24"/>
              </w:rPr>
            </w:pPr>
          </w:p>
        </w:tc>
        <w:tc>
          <w:tcPr>
            <w:tcW w:w="456" w:type="dxa"/>
            <w:vMerge w:val="continue"/>
            <w:vAlign w:val="center"/>
          </w:tcPr>
          <w:p>
            <w:pPr>
              <w:spacing w:line="276" w:lineRule="auto"/>
              <w:rPr>
                <w:rFonts w:ascii="Times New Roman" w:hAnsi="Times New Roman" w:cs="Times New Roman"/>
                <w:sz w:val="24"/>
              </w:rPr>
            </w:pPr>
          </w:p>
        </w:tc>
        <w:tc>
          <w:tcPr>
            <w:tcW w:w="974" w:type="dxa"/>
            <w:vMerge w:val="continue"/>
            <w:vAlign w:val="center"/>
          </w:tcPr>
          <w:p>
            <w:pPr>
              <w:spacing w:line="276" w:lineRule="auto"/>
              <w:rPr>
                <w:rFonts w:ascii="Times New Roman" w:hAnsi="Times New Roman" w:cs="Times New Roman"/>
                <w:sz w:val="24"/>
              </w:rPr>
            </w:pPr>
          </w:p>
        </w:tc>
        <w:tc>
          <w:tcPr>
            <w:tcW w:w="3064" w:type="dxa"/>
            <w:vMerge w:val="continue"/>
            <w:tcBorders>
              <w:right w:val="single" w:color="auto" w:sz="4" w:space="0"/>
            </w:tcBorders>
            <w:vAlign w:val="center"/>
          </w:tcPr>
          <w:p>
            <w:pPr>
              <w:spacing w:line="276" w:lineRule="auto"/>
              <w:rPr>
                <w:rFonts w:ascii="Times New Roman" w:hAnsi="Times New Roman" w:cs="Times New Roman"/>
                <w:sz w:val="24"/>
              </w:rPr>
            </w:pPr>
          </w:p>
        </w:tc>
        <w:tc>
          <w:tcPr>
            <w:tcW w:w="3060"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Times New Roman" w:hAnsi="Times New Roman" w:cs="Times New Roman"/>
                <w:sz w:val="24"/>
              </w:rPr>
            </w:pPr>
            <w:r>
              <w:rPr>
                <w:rFonts w:hint="eastAsia" w:ascii="Times New Roman" w:hAnsi="Times New Roman" w:cs="Times New Roman"/>
                <w:sz w:val="24"/>
              </w:rPr>
              <w:t>有异议且影响正常开标</w:t>
            </w:r>
          </w:p>
        </w:tc>
        <w:tc>
          <w:tcPr>
            <w:tcW w:w="735" w:type="dxa"/>
            <w:tcBorders>
              <w:top w:val="single" w:color="auto" w:sz="4" w:space="0"/>
              <w:bottom w:val="single" w:color="auto" w:sz="4" w:space="0"/>
            </w:tcBorders>
            <w:vAlign w:val="center"/>
          </w:tcPr>
          <w:p>
            <w:pPr>
              <w:spacing w:line="276" w:lineRule="auto"/>
              <w:rPr>
                <w:rFonts w:ascii="Times New Roman" w:hAnsi="Times New Roman" w:cs="Times New Roman"/>
                <w:sz w:val="24"/>
              </w:rPr>
            </w:pPr>
            <w:r>
              <w:rPr>
                <w:rFonts w:hint="eastAsia" w:ascii="Times New Roman" w:hAnsi="Times New Roman" w:cs="Times New Roman"/>
                <w:sz w:val="24"/>
              </w:rPr>
              <w:t>5</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96" w:hRule="atLeast"/>
          <w:tblHeader/>
        </w:trPr>
        <w:tc>
          <w:tcPr>
            <w:tcW w:w="576" w:type="dxa"/>
            <w:vMerge w:val="continue"/>
            <w:vAlign w:val="center"/>
          </w:tcPr>
          <w:p>
            <w:pPr>
              <w:spacing w:line="276" w:lineRule="auto"/>
              <w:rPr>
                <w:rFonts w:ascii="Times New Roman" w:hAnsi="Times New Roman" w:cs="Times New Roman"/>
                <w:sz w:val="24"/>
              </w:rPr>
            </w:pPr>
          </w:p>
        </w:tc>
        <w:tc>
          <w:tcPr>
            <w:tcW w:w="456" w:type="dxa"/>
            <w:vMerge w:val="continue"/>
            <w:vAlign w:val="center"/>
          </w:tcPr>
          <w:p>
            <w:pPr>
              <w:spacing w:line="276" w:lineRule="auto"/>
              <w:rPr>
                <w:rFonts w:ascii="Times New Roman" w:hAnsi="Times New Roman" w:cs="Times New Roman"/>
                <w:sz w:val="24"/>
              </w:rPr>
            </w:pPr>
          </w:p>
        </w:tc>
        <w:tc>
          <w:tcPr>
            <w:tcW w:w="974" w:type="dxa"/>
            <w:vMerge w:val="continue"/>
            <w:vAlign w:val="center"/>
          </w:tcPr>
          <w:p>
            <w:pPr>
              <w:spacing w:line="276" w:lineRule="auto"/>
              <w:rPr>
                <w:rFonts w:ascii="Times New Roman" w:hAnsi="Times New Roman" w:cs="Times New Roman"/>
                <w:sz w:val="24"/>
              </w:rPr>
            </w:pPr>
          </w:p>
        </w:tc>
        <w:tc>
          <w:tcPr>
            <w:tcW w:w="3064" w:type="dxa"/>
            <w:vMerge w:val="continue"/>
            <w:tcBorders>
              <w:right w:val="single" w:color="auto" w:sz="4" w:space="0"/>
            </w:tcBorders>
            <w:vAlign w:val="center"/>
          </w:tcPr>
          <w:p>
            <w:pPr>
              <w:spacing w:line="276" w:lineRule="auto"/>
              <w:rPr>
                <w:rFonts w:ascii="Times New Roman" w:hAnsi="Times New Roman" w:cs="Times New Roman"/>
                <w:sz w:val="24"/>
              </w:rPr>
            </w:pPr>
          </w:p>
        </w:tc>
        <w:tc>
          <w:tcPr>
            <w:tcW w:w="3060"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Times New Roman" w:hAnsi="Times New Roman" w:cs="Times New Roman"/>
                <w:sz w:val="24"/>
              </w:rPr>
            </w:pPr>
            <w:r>
              <w:rPr>
                <w:rFonts w:hint="eastAsia" w:ascii="Times New Roman" w:hAnsi="Times New Roman" w:cs="Times New Roman"/>
                <w:sz w:val="24"/>
              </w:rPr>
              <w:t>有异议上升为投诉，经认定投诉属实的</w:t>
            </w:r>
          </w:p>
        </w:tc>
        <w:tc>
          <w:tcPr>
            <w:tcW w:w="735" w:type="dxa"/>
            <w:tcBorders>
              <w:top w:val="single" w:color="auto" w:sz="4" w:space="0"/>
              <w:bottom w:val="single" w:color="auto" w:sz="4" w:space="0"/>
            </w:tcBorders>
            <w:vAlign w:val="center"/>
          </w:tcPr>
          <w:p>
            <w:pPr>
              <w:spacing w:line="276" w:lineRule="auto"/>
              <w:rPr>
                <w:rFonts w:ascii="Times New Roman" w:hAnsi="Times New Roman" w:cs="Times New Roman"/>
                <w:sz w:val="24"/>
              </w:rPr>
            </w:pPr>
            <w:r>
              <w:rPr>
                <w:rFonts w:hint="eastAsia" w:ascii="Times New Roman" w:hAnsi="Times New Roman" w:cs="Times New Roman"/>
                <w:sz w:val="24"/>
              </w:rPr>
              <w:t>0</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96" w:hRule="atLeast"/>
          <w:tblHeader/>
        </w:trPr>
        <w:tc>
          <w:tcPr>
            <w:tcW w:w="576" w:type="dxa"/>
            <w:vAlign w:val="center"/>
          </w:tcPr>
          <w:p>
            <w:pPr>
              <w:spacing w:line="276" w:lineRule="auto"/>
              <w:rPr>
                <w:rFonts w:ascii="Times New Roman" w:hAnsi="Times New Roman" w:cs="Times New Roman"/>
                <w:sz w:val="24"/>
              </w:rPr>
            </w:pPr>
            <w:r>
              <w:rPr>
                <w:rFonts w:hint="eastAsia" w:ascii="Times New Roman" w:hAnsi="Times New Roman" w:cs="Times New Roman"/>
                <w:sz w:val="24"/>
              </w:rPr>
              <w:t>备注</w:t>
            </w:r>
          </w:p>
        </w:tc>
        <w:tc>
          <w:tcPr>
            <w:tcW w:w="8289" w:type="dxa"/>
            <w:gridSpan w:val="5"/>
            <w:vAlign w:val="center"/>
          </w:tcPr>
          <w:p>
            <w:pPr>
              <w:spacing w:line="276" w:lineRule="auto"/>
              <w:rPr>
                <w:rFonts w:ascii="Times New Roman" w:hAnsi="Times New Roman" w:cs="Times New Roman"/>
                <w:sz w:val="24"/>
              </w:rPr>
            </w:pPr>
            <w:r>
              <w:rPr>
                <w:rFonts w:hint="eastAsia" w:ascii="Times New Roman" w:hAnsi="Times New Roman" w:cs="Times New Roman"/>
                <w:sz w:val="24"/>
              </w:rPr>
              <w:t>招标单位利用招投标管理系统在中标备案前对各招标项目进行评价，该项目评分在90分以上的为优秀。</w:t>
            </w:r>
          </w:p>
        </w:tc>
      </w:tr>
    </w:tbl>
    <w:p>
      <w:pPr>
        <w:widowControl/>
        <w:jc w:val="left"/>
        <w:rPr>
          <w:rFonts w:ascii="Times New Roman" w:hAnsi="Times New Roman" w:eastAsia="黑体" w:cs="Times New Roman"/>
          <w:sz w:val="32"/>
          <w:szCs w:val="32"/>
        </w:rPr>
      </w:pPr>
      <w:r>
        <w:rPr>
          <w:rFonts w:hint="eastAsia" w:ascii="Times New Roman" w:hAnsi="Times New Roman" w:eastAsia="黑体" w:cs="Times New Roman"/>
          <w:sz w:val="32"/>
          <w:szCs w:val="32"/>
        </w:rPr>
        <w:t>附件5</w:t>
      </w:r>
    </w:p>
    <w:p>
      <w:pPr>
        <w:widowControl/>
        <w:jc w:val="center"/>
        <w:rPr>
          <w:rFonts w:ascii="黑体" w:eastAsia="黑体"/>
          <w:color w:val="000000"/>
          <w:sz w:val="32"/>
          <w:szCs w:val="32"/>
        </w:rPr>
      </w:pPr>
      <w:r>
        <w:rPr>
          <w:rFonts w:hint="eastAsia" w:ascii="黑体" w:eastAsia="黑体"/>
          <w:color w:val="000000"/>
          <w:sz w:val="32"/>
          <w:szCs w:val="32"/>
        </w:rPr>
        <w:t>****年</w:t>
      </w:r>
      <w:r>
        <w:rPr>
          <w:rFonts w:hint="eastAsia" w:ascii="黑体" w:eastAsia="黑体"/>
          <w:sz w:val="32"/>
          <w:szCs w:val="32"/>
        </w:rPr>
        <w:t>度参加柳州市</w:t>
      </w:r>
      <w:r>
        <w:rPr>
          <w:rFonts w:hint="eastAsia" w:ascii="黑体" w:eastAsia="黑体"/>
          <w:color w:val="000000"/>
          <w:sz w:val="32"/>
          <w:szCs w:val="32"/>
        </w:rPr>
        <w:t>(  县)信用评价招标代理机构名单</w:t>
      </w:r>
    </w:p>
    <w:tbl>
      <w:tblPr>
        <w:tblStyle w:val="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4"/>
        <w:gridCol w:w="5983"/>
        <w:gridCol w:w="1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984" w:type="dxa"/>
          </w:tcPr>
          <w:p>
            <w:pPr>
              <w:widowControl/>
              <w:jc w:val="center"/>
              <w:rPr>
                <w:rFonts w:ascii="黑体" w:eastAsia="黑体" w:cs="宋体"/>
                <w:b/>
                <w:color w:val="000000"/>
                <w:kern w:val="0"/>
                <w:sz w:val="22"/>
              </w:rPr>
            </w:pPr>
            <w:r>
              <w:rPr>
                <w:rFonts w:hint="eastAsia" w:ascii="黑体" w:eastAsia="黑体" w:cs="宋体"/>
                <w:b/>
                <w:color w:val="000000"/>
                <w:kern w:val="0"/>
                <w:sz w:val="22"/>
              </w:rPr>
              <w:t>序号</w:t>
            </w:r>
          </w:p>
        </w:tc>
        <w:tc>
          <w:tcPr>
            <w:tcW w:w="5983" w:type="dxa"/>
          </w:tcPr>
          <w:p>
            <w:pPr>
              <w:widowControl/>
              <w:jc w:val="center"/>
              <w:rPr>
                <w:rFonts w:ascii="黑体" w:eastAsia="黑体" w:cs="宋体"/>
                <w:b/>
                <w:color w:val="000000"/>
                <w:kern w:val="0"/>
                <w:sz w:val="22"/>
              </w:rPr>
            </w:pPr>
            <w:r>
              <w:rPr>
                <w:rFonts w:hint="eastAsia" w:ascii="黑体" w:eastAsia="黑体" w:cs="宋体"/>
                <w:b/>
                <w:color w:val="000000"/>
                <w:kern w:val="0"/>
                <w:sz w:val="22"/>
              </w:rPr>
              <w:t>代理机构</w:t>
            </w:r>
          </w:p>
        </w:tc>
        <w:tc>
          <w:tcPr>
            <w:tcW w:w="1555" w:type="dxa"/>
          </w:tcPr>
          <w:p>
            <w:pPr>
              <w:widowControl/>
              <w:jc w:val="center"/>
              <w:rPr>
                <w:rFonts w:ascii="黑体" w:eastAsia="黑体" w:cs="宋体"/>
                <w:b/>
                <w:color w:val="000000"/>
                <w:kern w:val="0"/>
                <w:sz w:val="22"/>
              </w:rPr>
            </w:pPr>
            <w:r>
              <w:rPr>
                <w:rFonts w:hint="eastAsia" w:ascii="黑体" w:eastAsia="黑体" w:cs="宋体"/>
                <w:b/>
                <w:color w:val="000000"/>
                <w:kern w:val="0"/>
                <w:sz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4" w:type="dxa"/>
          </w:tcPr>
          <w:p>
            <w:pPr>
              <w:pStyle w:val="4"/>
              <w:widowControl/>
              <w:spacing w:beforeAutospacing="1" w:line="499" w:lineRule="atLeast"/>
              <w:jc w:val="center"/>
              <w:rPr>
                <w:rFonts w:ascii="Times New Roman" w:hAnsi="Times New Roman" w:cs="Times New Roman"/>
              </w:rPr>
            </w:pPr>
            <w:r>
              <w:rPr>
                <w:rFonts w:hint="eastAsia" w:ascii="Times New Roman" w:hAnsi="Times New Roman" w:cs="Times New Roman"/>
              </w:rPr>
              <w:t>1</w:t>
            </w:r>
          </w:p>
        </w:tc>
        <w:tc>
          <w:tcPr>
            <w:tcW w:w="5983" w:type="dxa"/>
          </w:tcPr>
          <w:p>
            <w:pPr>
              <w:pStyle w:val="4"/>
              <w:widowControl/>
              <w:spacing w:beforeAutospacing="1" w:line="499" w:lineRule="atLeast"/>
              <w:rPr>
                <w:rFonts w:ascii="Times New Roman" w:hAnsi="Times New Roman" w:cs="Times New Roman"/>
              </w:rPr>
            </w:pPr>
          </w:p>
        </w:tc>
        <w:tc>
          <w:tcPr>
            <w:tcW w:w="1555" w:type="dxa"/>
          </w:tcPr>
          <w:p>
            <w:pPr>
              <w:pStyle w:val="4"/>
              <w:widowControl/>
              <w:spacing w:beforeAutospacing="1" w:line="499" w:lineRule="atLeast"/>
              <w:rPr>
                <w:rFonts w:ascii="宋体" w:eastAsia="宋体" w:cs="宋体"/>
                <w:color w:val="FF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4" w:type="dxa"/>
          </w:tcPr>
          <w:p>
            <w:pPr>
              <w:pStyle w:val="4"/>
              <w:widowControl/>
              <w:spacing w:beforeAutospacing="1" w:line="499" w:lineRule="atLeast"/>
              <w:jc w:val="center"/>
              <w:rPr>
                <w:rFonts w:ascii="Times New Roman" w:hAnsi="Times New Roman" w:cs="Times New Roman"/>
              </w:rPr>
            </w:pPr>
            <w:r>
              <w:rPr>
                <w:rFonts w:hint="eastAsia" w:ascii="Times New Roman" w:hAnsi="Times New Roman" w:cs="Times New Roman"/>
              </w:rPr>
              <w:t>2</w:t>
            </w:r>
          </w:p>
        </w:tc>
        <w:tc>
          <w:tcPr>
            <w:tcW w:w="5983" w:type="dxa"/>
          </w:tcPr>
          <w:p>
            <w:pPr>
              <w:pStyle w:val="4"/>
              <w:widowControl/>
              <w:spacing w:beforeAutospacing="1" w:line="499" w:lineRule="atLeast"/>
              <w:rPr>
                <w:rFonts w:ascii="Times New Roman" w:hAnsi="Times New Roman" w:cs="Times New Roman"/>
              </w:rPr>
            </w:pPr>
          </w:p>
        </w:tc>
        <w:tc>
          <w:tcPr>
            <w:tcW w:w="1555" w:type="dxa"/>
          </w:tcPr>
          <w:p>
            <w:pPr>
              <w:pStyle w:val="4"/>
              <w:widowControl/>
              <w:spacing w:beforeAutospacing="1" w:line="499" w:lineRule="atLeast"/>
              <w:rPr>
                <w:rFonts w:ascii="宋体" w:eastAsia="宋体" w:cs="宋体"/>
                <w:color w:val="FF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4" w:type="dxa"/>
          </w:tcPr>
          <w:p>
            <w:pPr>
              <w:pStyle w:val="4"/>
              <w:widowControl/>
              <w:spacing w:beforeAutospacing="1" w:line="499" w:lineRule="atLeast"/>
              <w:jc w:val="center"/>
              <w:rPr>
                <w:rFonts w:ascii="Times New Roman" w:hAnsi="Times New Roman" w:cs="Times New Roman"/>
              </w:rPr>
            </w:pPr>
            <w:r>
              <w:rPr>
                <w:rFonts w:hint="eastAsia" w:ascii="Times New Roman" w:hAnsi="Times New Roman" w:cs="Times New Roman"/>
              </w:rPr>
              <w:t>3</w:t>
            </w:r>
          </w:p>
        </w:tc>
        <w:tc>
          <w:tcPr>
            <w:tcW w:w="5983" w:type="dxa"/>
          </w:tcPr>
          <w:p>
            <w:pPr>
              <w:pStyle w:val="4"/>
              <w:widowControl/>
              <w:spacing w:beforeAutospacing="1" w:line="499" w:lineRule="atLeast"/>
              <w:rPr>
                <w:rFonts w:ascii="Times New Roman" w:hAnsi="Times New Roman" w:cs="Times New Roman"/>
              </w:rPr>
            </w:pPr>
          </w:p>
        </w:tc>
        <w:tc>
          <w:tcPr>
            <w:tcW w:w="1555" w:type="dxa"/>
          </w:tcPr>
          <w:p>
            <w:pPr>
              <w:pStyle w:val="4"/>
              <w:widowControl/>
              <w:spacing w:beforeAutospacing="1" w:line="499" w:lineRule="atLeast"/>
              <w:rPr>
                <w:rFonts w:ascii="宋体" w:eastAsia="宋体" w:cs="宋体"/>
                <w:color w:val="FF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4" w:type="dxa"/>
          </w:tcPr>
          <w:p>
            <w:pPr>
              <w:pStyle w:val="4"/>
              <w:widowControl/>
              <w:spacing w:beforeAutospacing="1" w:line="499" w:lineRule="atLeast"/>
              <w:jc w:val="center"/>
              <w:rPr>
                <w:rFonts w:ascii="Times New Roman" w:hAnsi="Times New Roman" w:cs="Times New Roman"/>
              </w:rPr>
            </w:pPr>
            <w:r>
              <w:rPr>
                <w:rFonts w:hint="eastAsia" w:ascii="Times New Roman" w:hAnsi="Times New Roman" w:cs="Times New Roman"/>
              </w:rPr>
              <w:t>4</w:t>
            </w:r>
          </w:p>
        </w:tc>
        <w:tc>
          <w:tcPr>
            <w:tcW w:w="5983" w:type="dxa"/>
          </w:tcPr>
          <w:p>
            <w:pPr>
              <w:pStyle w:val="4"/>
              <w:widowControl/>
              <w:spacing w:beforeAutospacing="1" w:line="499" w:lineRule="atLeast"/>
              <w:rPr>
                <w:rFonts w:ascii="Times New Roman" w:hAnsi="Times New Roman" w:cs="Times New Roman"/>
              </w:rPr>
            </w:pPr>
          </w:p>
        </w:tc>
        <w:tc>
          <w:tcPr>
            <w:tcW w:w="1555" w:type="dxa"/>
          </w:tcPr>
          <w:p>
            <w:pPr>
              <w:pStyle w:val="4"/>
              <w:widowControl/>
              <w:spacing w:beforeAutospacing="1" w:line="499" w:lineRule="atLeast"/>
              <w:rPr>
                <w:rFonts w:ascii="宋体" w:eastAsia="宋体" w:cs="宋体"/>
                <w:color w:val="FF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4" w:type="dxa"/>
          </w:tcPr>
          <w:p>
            <w:pPr>
              <w:pStyle w:val="4"/>
              <w:widowControl/>
              <w:spacing w:beforeAutospacing="1" w:line="499" w:lineRule="atLeast"/>
              <w:jc w:val="center"/>
              <w:rPr>
                <w:rFonts w:ascii="Times New Roman" w:hAnsi="Times New Roman" w:cs="Times New Roman"/>
              </w:rPr>
            </w:pPr>
            <w:r>
              <w:rPr>
                <w:rFonts w:hint="eastAsia" w:ascii="Times New Roman" w:hAnsi="Times New Roman" w:cs="Times New Roman"/>
              </w:rPr>
              <w:t>5</w:t>
            </w:r>
          </w:p>
        </w:tc>
        <w:tc>
          <w:tcPr>
            <w:tcW w:w="5983" w:type="dxa"/>
          </w:tcPr>
          <w:p>
            <w:pPr>
              <w:pStyle w:val="4"/>
              <w:widowControl/>
              <w:spacing w:beforeAutospacing="1" w:line="499" w:lineRule="atLeast"/>
              <w:rPr>
                <w:rFonts w:ascii="Times New Roman" w:hAnsi="Times New Roman" w:cs="Times New Roman"/>
              </w:rPr>
            </w:pPr>
          </w:p>
        </w:tc>
        <w:tc>
          <w:tcPr>
            <w:tcW w:w="1555" w:type="dxa"/>
          </w:tcPr>
          <w:p>
            <w:pPr>
              <w:pStyle w:val="4"/>
              <w:widowControl/>
              <w:spacing w:beforeAutospacing="1" w:line="499" w:lineRule="atLeast"/>
              <w:rPr>
                <w:rFonts w:ascii="宋体" w:eastAsia="宋体" w:cs="宋体"/>
                <w:color w:val="FF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4" w:type="dxa"/>
          </w:tcPr>
          <w:p>
            <w:pPr>
              <w:pStyle w:val="4"/>
              <w:widowControl/>
              <w:spacing w:beforeAutospacing="1" w:line="499" w:lineRule="atLeast"/>
              <w:jc w:val="center"/>
              <w:rPr>
                <w:rFonts w:ascii="Times New Roman" w:hAnsi="Times New Roman" w:cs="Times New Roman"/>
              </w:rPr>
            </w:pPr>
            <w:r>
              <w:rPr>
                <w:rFonts w:hint="eastAsia" w:ascii="Times New Roman" w:hAnsi="Times New Roman" w:cs="Times New Roman"/>
              </w:rPr>
              <w:t>6</w:t>
            </w:r>
          </w:p>
        </w:tc>
        <w:tc>
          <w:tcPr>
            <w:tcW w:w="5983" w:type="dxa"/>
          </w:tcPr>
          <w:p>
            <w:pPr>
              <w:pStyle w:val="4"/>
              <w:widowControl/>
              <w:spacing w:beforeAutospacing="1" w:line="499" w:lineRule="atLeast"/>
              <w:rPr>
                <w:rFonts w:ascii="Times New Roman" w:hAnsi="Times New Roman" w:cs="Times New Roman"/>
              </w:rPr>
            </w:pPr>
          </w:p>
        </w:tc>
        <w:tc>
          <w:tcPr>
            <w:tcW w:w="1555" w:type="dxa"/>
          </w:tcPr>
          <w:p>
            <w:pPr>
              <w:pStyle w:val="4"/>
              <w:widowControl/>
              <w:spacing w:beforeAutospacing="1" w:line="499" w:lineRule="atLeast"/>
              <w:rPr>
                <w:rFonts w:ascii="宋体" w:eastAsia="宋体" w:cs="宋体"/>
                <w:color w:val="FF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4" w:type="dxa"/>
          </w:tcPr>
          <w:p>
            <w:pPr>
              <w:pStyle w:val="4"/>
              <w:widowControl/>
              <w:spacing w:beforeAutospacing="1" w:line="499" w:lineRule="atLeast"/>
              <w:jc w:val="center"/>
              <w:rPr>
                <w:rFonts w:ascii="Times New Roman" w:hAnsi="Times New Roman" w:cs="Times New Roman"/>
              </w:rPr>
            </w:pPr>
            <w:r>
              <w:rPr>
                <w:rFonts w:hint="eastAsia" w:ascii="Times New Roman" w:hAnsi="Times New Roman" w:cs="Times New Roman"/>
              </w:rPr>
              <w:t>7</w:t>
            </w:r>
          </w:p>
        </w:tc>
        <w:tc>
          <w:tcPr>
            <w:tcW w:w="5983" w:type="dxa"/>
          </w:tcPr>
          <w:p>
            <w:pPr>
              <w:pStyle w:val="4"/>
              <w:widowControl/>
              <w:spacing w:beforeAutospacing="1" w:line="499" w:lineRule="atLeast"/>
              <w:rPr>
                <w:rFonts w:ascii="Times New Roman" w:hAnsi="Times New Roman" w:cs="Times New Roman"/>
              </w:rPr>
            </w:pPr>
          </w:p>
        </w:tc>
        <w:tc>
          <w:tcPr>
            <w:tcW w:w="1555" w:type="dxa"/>
          </w:tcPr>
          <w:p>
            <w:pPr>
              <w:pStyle w:val="4"/>
              <w:widowControl/>
              <w:spacing w:beforeAutospacing="1" w:line="499" w:lineRule="atLeast"/>
              <w:rPr>
                <w:rFonts w:ascii="宋体" w:eastAsia="宋体" w:cs="宋体"/>
                <w:color w:val="FF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4" w:type="dxa"/>
          </w:tcPr>
          <w:p>
            <w:pPr>
              <w:pStyle w:val="4"/>
              <w:widowControl/>
              <w:spacing w:beforeAutospacing="1" w:line="499" w:lineRule="atLeast"/>
              <w:jc w:val="center"/>
              <w:rPr>
                <w:rFonts w:ascii="Times New Roman" w:hAnsi="Times New Roman" w:cs="Times New Roman"/>
              </w:rPr>
            </w:pPr>
            <w:r>
              <w:rPr>
                <w:rFonts w:hint="eastAsia" w:ascii="Times New Roman" w:hAnsi="Times New Roman" w:cs="Times New Roman"/>
              </w:rPr>
              <w:t>8</w:t>
            </w:r>
          </w:p>
        </w:tc>
        <w:tc>
          <w:tcPr>
            <w:tcW w:w="5983" w:type="dxa"/>
          </w:tcPr>
          <w:p>
            <w:pPr>
              <w:pStyle w:val="4"/>
              <w:widowControl/>
              <w:spacing w:beforeAutospacing="1" w:line="499" w:lineRule="atLeast"/>
              <w:rPr>
                <w:rFonts w:ascii="Times New Roman" w:hAnsi="Times New Roman" w:cs="Times New Roman"/>
              </w:rPr>
            </w:pPr>
          </w:p>
        </w:tc>
        <w:tc>
          <w:tcPr>
            <w:tcW w:w="1555" w:type="dxa"/>
          </w:tcPr>
          <w:p>
            <w:pPr>
              <w:pStyle w:val="4"/>
              <w:widowControl/>
              <w:spacing w:beforeAutospacing="1" w:line="499" w:lineRule="atLeast"/>
              <w:rPr>
                <w:rFonts w:ascii="宋体" w:eastAsia="宋体" w:cs="宋体"/>
                <w:color w:val="FF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4" w:type="dxa"/>
          </w:tcPr>
          <w:p>
            <w:pPr>
              <w:pStyle w:val="4"/>
              <w:widowControl/>
              <w:spacing w:beforeAutospacing="1" w:line="499" w:lineRule="atLeast"/>
              <w:jc w:val="center"/>
              <w:rPr>
                <w:rFonts w:ascii="Times New Roman" w:hAnsi="Times New Roman" w:cs="Times New Roman"/>
              </w:rPr>
            </w:pPr>
            <w:r>
              <w:rPr>
                <w:rFonts w:hint="eastAsia" w:ascii="Times New Roman" w:hAnsi="Times New Roman" w:cs="Times New Roman"/>
              </w:rPr>
              <w:t>9</w:t>
            </w:r>
          </w:p>
        </w:tc>
        <w:tc>
          <w:tcPr>
            <w:tcW w:w="5983" w:type="dxa"/>
          </w:tcPr>
          <w:p>
            <w:pPr>
              <w:pStyle w:val="4"/>
              <w:widowControl/>
              <w:spacing w:beforeAutospacing="1" w:line="499" w:lineRule="atLeast"/>
              <w:rPr>
                <w:rFonts w:ascii="Times New Roman" w:hAnsi="Times New Roman" w:cs="Times New Roman"/>
              </w:rPr>
            </w:pPr>
          </w:p>
        </w:tc>
        <w:tc>
          <w:tcPr>
            <w:tcW w:w="1555" w:type="dxa"/>
          </w:tcPr>
          <w:p>
            <w:pPr>
              <w:pStyle w:val="4"/>
              <w:widowControl/>
              <w:spacing w:beforeAutospacing="1" w:line="499" w:lineRule="atLeast"/>
              <w:rPr>
                <w:rFonts w:ascii="宋体" w:eastAsia="宋体" w:cs="宋体"/>
                <w:color w:val="FF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4" w:type="dxa"/>
          </w:tcPr>
          <w:p>
            <w:pPr>
              <w:pStyle w:val="4"/>
              <w:widowControl/>
              <w:spacing w:beforeAutospacing="1" w:line="499" w:lineRule="atLeast"/>
              <w:jc w:val="center"/>
              <w:rPr>
                <w:rFonts w:ascii="Times New Roman" w:hAnsi="Times New Roman" w:cs="Times New Roman"/>
              </w:rPr>
            </w:pPr>
            <w:r>
              <w:rPr>
                <w:rFonts w:hint="eastAsia" w:ascii="Times New Roman" w:hAnsi="Times New Roman" w:cs="Times New Roman"/>
              </w:rPr>
              <w:t>10</w:t>
            </w:r>
          </w:p>
        </w:tc>
        <w:tc>
          <w:tcPr>
            <w:tcW w:w="5983" w:type="dxa"/>
          </w:tcPr>
          <w:p>
            <w:pPr>
              <w:pStyle w:val="4"/>
              <w:widowControl/>
              <w:spacing w:beforeAutospacing="1" w:line="499" w:lineRule="atLeast"/>
              <w:rPr>
                <w:rFonts w:ascii="Times New Roman" w:hAnsi="Times New Roman" w:cs="Times New Roman"/>
              </w:rPr>
            </w:pPr>
          </w:p>
        </w:tc>
        <w:tc>
          <w:tcPr>
            <w:tcW w:w="1555" w:type="dxa"/>
          </w:tcPr>
          <w:p>
            <w:pPr>
              <w:pStyle w:val="4"/>
              <w:widowControl/>
              <w:spacing w:beforeAutospacing="1" w:line="499" w:lineRule="atLeast"/>
              <w:rPr>
                <w:rFonts w:ascii="宋体" w:eastAsia="宋体" w:cs="宋体"/>
                <w:color w:val="FF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4" w:type="dxa"/>
          </w:tcPr>
          <w:p>
            <w:pPr>
              <w:pStyle w:val="4"/>
              <w:widowControl/>
              <w:spacing w:beforeAutospacing="1" w:line="499" w:lineRule="atLeast"/>
              <w:jc w:val="center"/>
              <w:rPr>
                <w:rFonts w:ascii="Times New Roman" w:hAnsi="Times New Roman" w:cs="Times New Roman"/>
              </w:rPr>
            </w:pPr>
            <w:r>
              <w:rPr>
                <w:rFonts w:hint="eastAsia" w:ascii="Times New Roman" w:hAnsi="Times New Roman" w:cs="Times New Roman"/>
              </w:rPr>
              <w:t>11</w:t>
            </w:r>
          </w:p>
        </w:tc>
        <w:tc>
          <w:tcPr>
            <w:tcW w:w="5983" w:type="dxa"/>
          </w:tcPr>
          <w:p>
            <w:pPr>
              <w:pStyle w:val="4"/>
              <w:widowControl/>
              <w:spacing w:beforeAutospacing="1" w:line="499" w:lineRule="atLeast"/>
              <w:rPr>
                <w:rFonts w:ascii="Times New Roman" w:hAnsi="Times New Roman" w:cs="Times New Roman"/>
              </w:rPr>
            </w:pPr>
          </w:p>
        </w:tc>
        <w:tc>
          <w:tcPr>
            <w:tcW w:w="1555" w:type="dxa"/>
          </w:tcPr>
          <w:p>
            <w:pPr>
              <w:pStyle w:val="4"/>
              <w:widowControl/>
              <w:spacing w:beforeAutospacing="1" w:line="499" w:lineRule="atLeast"/>
              <w:rPr>
                <w:rFonts w:ascii="宋体" w:eastAsia="宋体" w:cs="宋体"/>
                <w:color w:val="FF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84" w:type="dxa"/>
          </w:tcPr>
          <w:p>
            <w:pPr>
              <w:pStyle w:val="4"/>
              <w:widowControl/>
              <w:spacing w:beforeAutospacing="1" w:line="499" w:lineRule="atLeast"/>
              <w:jc w:val="center"/>
              <w:rPr>
                <w:rFonts w:ascii="Times New Roman" w:hAnsi="Times New Roman" w:cs="Times New Roman"/>
              </w:rPr>
            </w:pPr>
            <w:r>
              <w:rPr>
                <w:rFonts w:hint="eastAsia" w:ascii="Times New Roman" w:hAnsi="Times New Roman" w:cs="Times New Roman"/>
              </w:rPr>
              <w:t>12</w:t>
            </w:r>
          </w:p>
        </w:tc>
        <w:tc>
          <w:tcPr>
            <w:tcW w:w="5983" w:type="dxa"/>
          </w:tcPr>
          <w:p>
            <w:pPr>
              <w:pStyle w:val="4"/>
              <w:widowControl/>
              <w:spacing w:beforeAutospacing="1" w:line="499" w:lineRule="atLeast"/>
              <w:rPr>
                <w:rFonts w:ascii="Times New Roman" w:hAnsi="Times New Roman" w:cs="Times New Roman"/>
              </w:rPr>
            </w:pPr>
          </w:p>
        </w:tc>
        <w:tc>
          <w:tcPr>
            <w:tcW w:w="1555" w:type="dxa"/>
          </w:tcPr>
          <w:p>
            <w:pPr>
              <w:pStyle w:val="4"/>
              <w:widowControl/>
              <w:spacing w:beforeAutospacing="1" w:line="499" w:lineRule="atLeast"/>
              <w:rPr>
                <w:rFonts w:ascii="宋体" w:eastAsia="宋体" w:cs="宋体"/>
                <w:color w:val="FF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4" w:type="dxa"/>
          </w:tcPr>
          <w:p>
            <w:pPr>
              <w:pStyle w:val="4"/>
              <w:widowControl/>
              <w:spacing w:beforeAutospacing="1" w:line="499" w:lineRule="atLeast"/>
              <w:jc w:val="center"/>
              <w:rPr>
                <w:rFonts w:ascii="Times New Roman" w:hAnsi="Times New Roman" w:cs="Times New Roman"/>
              </w:rPr>
            </w:pPr>
            <w:r>
              <w:rPr>
                <w:rFonts w:hint="eastAsia" w:ascii="Times New Roman" w:hAnsi="Times New Roman" w:cs="Times New Roman"/>
              </w:rPr>
              <w:t>13</w:t>
            </w:r>
          </w:p>
        </w:tc>
        <w:tc>
          <w:tcPr>
            <w:tcW w:w="5983" w:type="dxa"/>
          </w:tcPr>
          <w:p>
            <w:pPr>
              <w:pStyle w:val="4"/>
              <w:widowControl/>
              <w:spacing w:beforeAutospacing="1" w:line="499" w:lineRule="atLeast"/>
              <w:rPr>
                <w:rFonts w:ascii="宋体" w:eastAsia="宋体" w:cs="宋体"/>
                <w:color w:val="FF0000"/>
                <w:sz w:val="32"/>
                <w:szCs w:val="32"/>
              </w:rPr>
            </w:pPr>
          </w:p>
        </w:tc>
        <w:tc>
          <w:tcPr>
            <w:tcW w:w="1555" w:type="dxa"/>
          </w:tcPr>
          <w:p>
            <w:pPr>
              <w:pStyle w:val="4"/>
              <w:widowControl/>
              <w:spacing w:beforeAutospacing="1" w:line="499" w:lineRule="atLeast"/>
              <w:rPr>
                <w:rFonts w:ascii="宋体" w:eastAsia="宋体" w:cs="宋体"/>
                <w:color w:val="FF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4" w:type="dxa"/>
          </w:tcPr>
          <w:p>
            <w:pPr>
              <w:pStyle w:val="4"/>
              <w:widowControl/>
              <w:spacing w:beforeAutospacing="1" w:line="499" w:lineRule="atLeast"/>
              <w:jc w:val="center"/>
              <w:rPr>
                <w:rFonts w:ascii="Times New Roman" w:hAnsi="Times New Roman" w:cs="Times New Roman"/>
              </w:rPr>
            </w:pPr>
            <w:r>
              <w:rPr>
                <w:rFonts w:hint="eastAsia" w:ascii="Times New Roman" w:hAnsi="Times New Roman" w:cs="Times New Roman"/>
              </w:rPr>
              <w:t>14</w:t>
            </w:r>
          </w:p>
        </w:tc>
        <w:tc>
          <w:tcPr>
            <w:tcW w:w="5983" w:type="dxa"/>
          </w:tcPr>
          <w:p>
            <w:pPr>
              <w:pStyle w:val="4"/>
              <w:widowControl/>
              <w:spacing w:beforeAutospacing="1" w:line="499" w:lineRule="atLeast"/>
              <w:rPr>
                <w:rFonts w:ascii="宋体" w:eastAsia="宋体" w:cs="宋体"/>
                <w:color w:val="FF0000"/>
                <w:sz w:val="32"/>
                <w:szCs w:val="32"/>
              </w:rPr>
            </w:pPr>
          </w:p>
        </w:tc>
        <w:tc>
          <w:tcPr>
            <w:tcW w:w="1555" w:type="dxa"/>
          </w:tcPr>
          <w:p>
            <w:pPr>
              <w:pStyle w:val="4"/>
              <w:widowControl/>
              <w:spacing w:beforeAutospacing="1" w:line="499" w:lineRule="atLeast"/>
              <w:rPr>
                <w:rFonts w:ascii="宋体" w:eastAsia="宋体" w:cs="宋体"/>
                <w:color w:val="FF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4" w:type="dxa"/>
          </w:tcPr>
          <w:p>
            <w:pPr>
              <w:pStyle w:val="4"/>
              <w:widowControl/>
              <w:spacing w:beforeAutospacing="1" w:line="499" w:lineRule="atLeast"/>
              <w:jc w:val="center"/>
              <w:rPr>
                <w:rFonts w:ascii="Times New Roman" w:hAnsi="Times New Roman" w:cs="Times New Roman"/>
              </w:rPr>
            </w:pPr>
            <w:r>
              <w:rPr>
                <w:rFonts w:hint="eastAsia" w:ascii="Times New Roman" w:hAnsi="Times New Roman" w:cs="Times New Roman"/>
              </w:rPr>
              <w:t>15</w:t>
            </w:r>
          </w:p>
        </w:tc>
        <w:tc>
          <w:tcPr>
            <w:tcW w:w="5983" w:type="dxa"/>
          </w:tcPr>
          <w:p>
            <w:pPr>
              <w:pStyle w:val="4"/>
              <w:widowControl/>
              <w:spacing w:beforeAutospacing="1" w:line="499" w:lineRule="atLeast"/>
              <w:rPr>
                <w:rFonts w:ascii="宋体" w:eastAsia="宋体" w:cs="宋体"/>
                <w:color w:val="FF0000"/>
                <w:sz w:val="32"/>
                <w:szCs w:val="32"/>
              </w:rPr>
            </w:pPr>
          </w:p>
        </w:tc>
        <w:tc>
          <w:tcPr>
            <w:tcW w:w="1555" w:type="dxa"/>
          </w:tcPr>
          <w:p>
            <w:pPr>
              <w:pStyle w:val="4"/>
              <w:widowControl/>
              <w:spacing w:beforeAutospacing="1" w:line="499" w:lineRule="atLeast"/>
              <w:rPr>
                <w:rFonts w:ascii="宋体" w:eastAsia="宋体" w:cs="宋体"/>
                <w:color w:val="FF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4" w:type="dxa"/>
          </w:tcPr>
          <w:p>
            <w:pPr>
              <w:pStyle w:val="4"/>
              <w:widowControl/>
              <w:spacing w:beforeAutospacing="1" w:line="499" w:lineRule="atLeast"/>
              <w:jc w:val="center"/>
              <w:rPr>
                <w:rFonts w:ascii="Times New Roman" w:hAnsi="Times New Roman" w:cs="Times New Roman"/>
              </w:rPr>
            </w:pPr>
            <w:r>
              <w:rPr>
                <w:rFonts w:hint="eastAsia" w:ascii="Times New Roman" w:hAnsi="Times New Roman" w:cs="Times New Roman"/>
              </w:rPr>
              <w:t>16</w:t>
            </w:r>
          </w:p>
        </w:tc>
        <w:tc>
          <w:tcPr>
            <w:tcW w:w="5983" w:type="dxa"/>
          </w:tcPr>
          <w:p>
            <w:pPr>
              <w:pStyle w:val="4"/>
              <w:widowControl/>
              <w:spacing w:beforeAutospacing="1" w:line="499" w:lineRule="atLeast"/>
              <w:rPr>
                <w:rFonts w:ascii="宋体" w:eastAsia="宋体" w:cs="宋体"/>
                <w:color w:val="FF0000"/>
                <w:sz w:val="32"/>
                <w:szCs w:val="32"/>
              </w:rPr>
            </w:pPr>
          </w:p>
        </w:tc>
        <w:tc>
          <w:tcPr>
            <w:tcW w:w="1555" w:type="dxa"/>
          </w:tcPr>
          <w:p>
            <w:pPr>
              <w:pStyle w:val="4"/>
              <w:widowControl/>
              <w:spacing w:beforeAutospacing="1" w:line="499" w:lineRule="atLeast"/>
              <w:rPr>
                <w:rFonts w:ascii="宋体" w:eastAsia="宋体" w:cs="宋体"/>
                <w:color w:val="FF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4" w:type="dxa"/>
          </w:tcPr>
          <w:p>
            <w:pPr>
              <w:pStyle w:val="4"/>
              <w:widowControl/>
              <w:spacing w:beforeAutospacing="1" w:line="499" w:lineRule="atLeast"/>
              <w:jc w:val="center"/>
              <w:rPr>
                <w:rFonts w:ascii="Times New Roman" w:hAnsi="Times New Roman" w:cs="Times New Roman"/>
              </w:rPr>
            </w:pPr>
            <w:r>
              <w:rPr>
                <w:rFonts w:hint="eastAsia" w:ascii="Times New Roman" w:hAnsi="Times New Roman" w:cs="Times New Roman"/>
              </w:rPr>
              <w:t>17</w:t>
            </w:r>
          </w:p>
        </w:tc>
        <w:tc>
          <w:tcPr>
            <w:tcW w:w="5983" w:type="dxa"/>
          </w:tcPr>
          <w:p>
            <w:pPr>
              <w:pStyle w:val="4"/>
              <w:widowControl/>
              <w:spacing w:beforeAutospacing="1" w:line="499" w:lineRule="atLeast"/>
              <w:rPr>
                <w:rFonts w:ascii="宋体" w:eastAsia="宋体" w:cs="宋体"/>
                <w:color w:val="FF0000"/>
                <w:sz w:val="32"/>
                <w:szCs w:val="32"/>
              </w:rPr>
            </w:pPr>
          </w:p>
        </w:tc>
        <w:tc>
          <w:tcPr>
            <w:tcW w:w="1555" w:type="dxa"/>
          </w:tcPr>
          <w:p>
            <w:pPr>
              <w:pStyle w:val="4"/>
              <w:widowControl/>
              <w:spacing w:beforeAutospacing="1" w:line="499" w:lineRule="atLeast"/>
              <w:rPr>
                <w:rFonts w:ascii="宋体" w:eastAsia="宋体" w:cs="宋体"/>
                <w:color w:val="FF0000"/>
                <w:sz w:val="32"/>
                <w:szCs w:val="32"/>
              </w:rPr>
            </w:pPr>
          </w:p>
        </w:tc>
      </w:tr>
    </w:tbl>
    <w:p>
      <w:pPr>
        <w:widowControl/>
        <w:jc w:val="left"/>
        <w:rPr>
          <w:rFonts w:ascii="Times New Roman" w:hAnsi="Times New Roman" w:eastAsia="黑体" w:cs="Times New Roman"/>
          <w:sz w:val="32"/>
          <w:szCs w:val="32"/>
        </w:rPr>
      </w:pPr>
    </w:p>
    <w:p>
      <w:pPr>
        <w:widowControl/>
        <w:jc w:val="left"/>
        <w:rPr>
          <w:rFonts w:ascii="宋体" w:cs="宋体"/>
          <w:kern w:val="0"/>
          <w:sz w:val="32"/>
          <w:szCs w:val="32"/>
        </w:rPr>
      </w:pPr>
      <w:r>
        <w:rPr>
          <w:rFonts w:hint="eastAsia" w:ascii="Times New Roman" w:hAnsi="Times New Roman" w:eastAsia="黑体" w:cs="Times New Roman"/>
          <w:sz w:val="32"/>
          <w:szCs w:val="32"/>
        </w:rPr>
        <w:t>附件6</w:t>
      </w:r>
    </w:p>
    <w:p>
      <w:pPr>
        <w:pStyle w:val="4"/>
        <w:widowControl/>
        <w:spacing w:beforeAutospacing="1" w:line="499" w:lineRule="atLeast"/>
        <w:jc w:val="center"/>
        <w:rPr>
          <w:rFonts w:ascii="黑体" w:eastAsia="黑体"/>
          <w:color w:val="000000"/>
          <w:sz w:val="32"/>
          <w:szCs w:val="32"/>
        </w:rPr>
      </w:pPr>
      <w:r>
        <w:rPr>
          <w:rFonts w:ascii="黑体" w:eastAsia="黑体"/>
          <w:color w:val="000000"/>
          <w:sz w:val="32"/>
          <w:szCs w:val="32"/>
        </w:rPr>
        <w:t>相关计分标准说明</w:t>
      </w:r>
    </w:p>
    <w:p>
      <w:pPr>
        <w:pStyle w:val="4"/>
        <w:widowControl/>
        <w:spacing w:beforeAutospacing="1" w:line="499" w:lineRule="atLeast"/>
        <w:ind w:firstLine="641"/>
        <w:rPr>
          <w:szCs w:val="24"/>
        </w:rPr>
      </w:pPr>
    </w:p>
    <w:p>
      <w:pPr>
        <w:pStyle w:val="4"/>
        <w:widowControl/>
        <w:ind w:firstLine="641"/>
        <w:rPr>
          <w:rFonts w:ascii="Times New Roman" w:hAnsi="Times New Roman" w:eastAsia="仿宋_GB2312" w:cs="Times New Roman"/>
          <w:sz w:val="32"/>
          <w:szCs w:val="32"/>
        </w:rPr>
      </w:pPr>
      <w:r>
        <w:rPr>
          <w:rFonts w:ascii="Times New Roman" w:hAnsi="Times New Roman" w:eastAsia="仿宋_GB2312" w:cs="Times New Roman"/>
          <w:sz w:val="32"/>
          <w:szCs w:val="32"/>
        </w:rPr>
        <w:t>一、业绩情况中所指业绩以招标代理机构代理的</w:t>
      </w:r>
      <w:r>
        <w:rPr>
          <w:rFonts w:hint="eastAsia" w:ascii="Times New Roman" w:hAnsi="Times New Roman" w:eastAsia="仿宋_GB2312" w:cs="Times New Roman"/>
          <w:sz w:val="32"/>
          <w:szCs w:val="32"/>
        </w:rPr>
        <w:t>招标单位所在地在柳州市县（区）行政区域的</w:t>
      </w:r>
      <w:r>
        <w:rPr>
          <w:rFonts w:ascii="Times New Roman" w:hAnsi="Times New Roman" w:eastAsia="仿宋_GB2312" w:cs="Times New Roman"/>
          <w:sz w:val="32"/>
          <w:szCs w:val="32"/>
        </w:rPr>
        <w:t>公开招标项目，一个项目多次招标的，只记一次。</w:t>
      </w:r>
    </w:p>
    <w:p>
      <w:pPr>
        <w:pStyle w:val="4"/>
        <w:widowControl/>
        <w:ind w:firstLine="641"/>
        <w:rPr>
          <w:rFonts w:ascii="Times New Roman" w:hAnsi="Times New Roman" w:eastAsia="仿宋_GB2312" w:cs="Times New Roman"/>
          <w:sz w:val="32"/>
          <w:szCs w:val="32"/>
        </w:rPr>
      </w:pPr>
      <w:r>
        <w:rPr>
          <w:rFonts w:ascii="Times New Roman" w:hAnsi="Times New Roman" w:eastAsia="仿宋_GB2312" w:cs="Times New Roman"/>
          <w:sz w:val="32"/>
          <w:szCs w:val="32"/>
        </w:rPr>
        <w:t>二、项目数</w:t>
      </w:r>
      <w:r>
        <w:rPr>
          <w:rFonts w:hint="eastAsia" w:ascii="Times New Roman" w:hAnsi="Times New Roman" w:eastAsia="仿宋_GB2312" w:cs="Times New Roman"/>
          <w:sz w:val="32"/>
          <w:szCs w:val="32"/>
        </w:rPr>
        <w:t>通过柳州市和鹿寨县</w:t>
      </w:r>
      <w:r>
        <w:rPr>
          <w:rFonts w:ascii="Times New Roman" w:hAnsi="Times New Roman" w:eastAsia="仿宋_GB2312" w:cs="Times New Roman"/>
          <w:sz w:val="32"/>
          <w:szCs w:val="32"/>
        </w:rPr>
        <w:t>公共资源交易平台系统统计</w:t>
      </w:r>
      <w:r>
        <w:rPr>
          <w:rFonts w:hint="eastAsia" w:ascii="Times New Roman" w:hAnsi="Times New Roman" w:eastAsia="仿宋_GB2312" w:cs="Times New Roman"/>
          <w:sz w:val="32"/>
          <w:szCs w:val="32"/>
        </w:rPr>
        <w:t>。</w:t>
      </w:r>
    </w:p>
    <w:p>
      <w:pPr>
        <w:pStyle w:val="4"/>
        <w:widowControl/>
        <w:ind w:firstLine="641"/>
        <w:rPr>
          <w:rFonts w:ascii="Times New Roman" w:hAnsi="Times New Roman" w:eastAsia="仿宋_GB2312" w:cs="Times New Roman"/>
          <w:sz w:val="32"/>
          <w:szCs w:val="32"/>
        </w:rPr>
      </w:pPr>
      <w:r>
        <w:rPr>
          <w:rFonts w:ascii="Times New Roman" w:hAnsi="Times New Roman" w:eastAsia="仿宋_GB2312" w:cs="Times New Roman"/>
          <w:sz w:val="32"/>
          <w:szCs w:val="32"/>
        </w:rPr>
        <w:t>三、业绩情况总计8分，超过8分的，按8分计。</w:t>
      </w:r>
    </w:p>
    <w:p>
      <w:pPr>
        <w:pStyle w:val="4"/>
        <w:widowControl/>
        <w:ind w:firstLine="641"/>
        <w:rPr>
          <w:rFonts w:ascii="Times New Roman" w:hAnsi="Times New Roman" w:eastAsia="仿宋_GB2312" w:cs="Times New Roman"/>
          <w:sz w:val="32"/>
          <w:szCs w:val="32"/>
        </w:rPr>
      </w:pPr>
      <w:r>
        <w:rPr>
          <w:rFonts w:ascii="Times New Roman" w:hAnsi="Times New Roman" w:eastAsia="仿宋_GB2312" w:cs="Times New Roman"/>
          <w:sz w:val="32"/>
          <w:szCs w:val="32"/>
        </w:rPr>
        <w:t>四、履职行为初始分60分，该项得分值为初始分加上通报表彰得分再减去不良行为评价所得分值，最低分为0分，超过80分的，按80分计。</w:t>
      </w:r>
    </w:p>
    <w:p>
      <w:pPr>
        <w:pStyle w:val="4"/>
        <w:widowControl/>
        <w:ind w:firstLine="641"/>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五</w:t>
      </w:r>
      <w:r>
        <w:rPr>
          <w:rFonts w:ascii="Times New Roman" w:hAnsi="Times New Roman" w:eastAsia="仿宋_GB2312" w:cs="Times New Roman"/>
          <w:sz w:val="32"/>
          <w:szCs w:val="32"/>
        </w:rPr>
        <w:t>、通报表彰信息及不良行为信息分值有效期均为一年，分值计算起点以系统更新计分时间推算有效期进行滚动计分。</w:t>
      </w:r>
    </w:p>
    <w:p>
      <w:pPr>
        <w:pStyle w:val="4"/>
        <w:widowControl/>
        <w:ind w:firstLine="641"/>
        <w:rPr>
          <w:rFonts w:ascii="Times New Roman" w:hAnsi="Times New Roman" w:eastAsia="仿宋_GB2312" w:cs="Times New Roman"/>
          <w:sz w:val="32"/>
          <w:szCs w:val="32"/>
        </w:rPr>
      </w:pPr>
      <w:bookmarkStart w:id="1" w:name="_Hlk48663315"/>
      <w:bookmarkEnd w:id="1"/>
      <w:r>
        <w:rPr>
          <w:rFonts w:hint="eastAsia" w:ascii="Times New Roman" w:hAnsi="Times New Roman" w:eastAsia="仿宋_GB2312" w:cs="Times New Roman"/>
          <w:sz w:val="32"/>
          <w:szCs w:val="32"/>
        </w:rPr>
        <w:t>六</w:t>
      </w:r>
      <w:r>
        <w:rPr>
          <w:rFonts w:ascii="Times New Roman" w:hAnsi="Times New Roman" w:eastAsia="仿宋_GB2312" w:cs="Times New Roman"/>
          <w:sz w:val="32"/>
          <w:szCs w:val="32"/>
        </w:rPr>
        <w:t>、不良行为认定依据为：录音、录像、笔录、整改通知书、通报或者相关文件等。</w:t>
      </w:r>
    </w:p>
    <w:p>
      <w:pPr>
        <w:pStyle w:val="4"/>
        <w:widowControl/>
        <w:ind w:firstLine="641"/>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七、</w:t>
      </w:r>
      <w:r>
        <w:rPr>
          <w:rFonts w:ascii="Times New Roman" w:hAnsi="Times New Roman" w:eastAsia="仿宋_GB2312" w:cs="Times New Roman"/>
          <w:sz w:val="32"/>
          <w:szCs w:val="32"/>
        </w:rPr>
        <w:t>不良行为认定中，同一项目不重复扣分，以处罚程度最重、扣分最多的处罚项为准。在不同项目中因同一不规范行为被扣分时，每次扣分值应乘以折减系数0.6。</w:t>
      </w:r>
    </w:p>
    <w:p>
      <w:pPr>
        <w:rPr>
          <w:rFonts w:ascii="宋体" w:eastAsia="宋体" w:cs="宋体"/>
        </w:rPr>
      </w:pPr>
    </w:p>
    <w:p>
      <w:pPr>
        <w:snapToGrid w:val="0"/>
        <w:rPr>
          <w:rFonts w:ascii="Times New Roman" w:hAnsi="Times New Roman" w:eastAsia="仿宋_GB2312" w:cs="Times New Roman"/>
          <w:color w:val="000000" w:themeColor="text1"/>
          <w:sz w:val="32"/>
          <w:szCs w:val="32"/>
        </w:rPr>
      </w:pPr>
    </w:p>
    <w:p>
      <w:pPr>
        <w:snapToGrid w:val="0"/>
        <w:spacing w:line="17" w:lineRule="auto"/>
        <w:ind w:firstLine="560"/>
        <w:rPr>
          <w:rFonts w:eastAsia="仿宋_GB2312"/>
          <w:sz w:val="32"/>
          <w:szCs w:val="32"/>
        </w:rPr>
      </w:pPr>
    </w:p>
    <w:sectPr>
      <w:headerReference r:id="rId3" w:type="default"/>
      <w:footerReference r:id="rId4" w:type="default"/>
      <w:pgSz w:w="11906" w:h="16838"/>
      <w:pgMar w:top="2120" w:right="1519" w:bottom="1440" w:left="1633"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_GBK">
    <w:altName w:val="微软雅黑"/>
    <w:panose1 w:val="00000000000000000000"/>
    <w:charset w:val="86"/>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swiss"/>
    <w:pitch w:val="default"/>
    <w:sig w:usb0="00000001" w:usb1="080E0000" w:usb2="00000000" w:usb3="00000000" w:csb0="00040000" w:csb1="00000000"/>
  </w:font>
  <w:font w:name="cursive">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方正大黑简体">
    <w:altName w:val="黑体"/>
    <w:panose1 w:val="00000000000000000000"/>
    <w:charset w:val="86"/>
    <w:family w:val="auto"/>
    <w:pitch w:val="default"/>
    <w:sig w:usb0="00000000" w:usb1="00000000" w:usb2="00000000" w:usb3="00000000" w:csb0="00040000" w:csb1="00000000"/>
  </w:font>
  <w:font w:name="Wingdings 2">
    <w:altName w:val="Wingdings"/>
    <w:panose1 w:val="05020102010507070707"/>
    <w:charset w:val="02"/>
    <w:family w:val="modern"/>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Arial Unicode MS">
    <w:altName w:val="宋体"/>
    <w:panose1 w:val="020B0604020202020204"/>
    <w:charset w:val="86"/>
    <w:family w:val="decorative"/>
    <w:pitch w:val="default"/>
    <w:sig w:usb0="00000000" w:usb1="00000000" w:usb2="0000003F" w:usb3="00000000" w:csb0="603F01FF" w:csb1="FFFF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pict>
        <v:shape id="_x0000_s2049" o:spid="_x0000_s2049"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y+2SPIAQAAmQMAAA4AAAAAAAAAAQAgAAAAHgEAAGRycy9lMm9Eb2Mu&#10;eG1sUEsFBgAAAAAGAAYAWQEAAFgFAAAAAA==&#10;">
          <v:path/>
          <v:fill on="f" focussize="0,0"/>
          <v:stroke on="f" joinstyle="miter"/>
          <v:imagedata o:title=""/>
          <o:lock v:ext="edit"/>
          <v:textbox inset="0mm,0mm,0mm,0mm" style="mso-fit-shape-to-text:t;">
            <w:txbxContent>
              <w:p>
                <w:pPr>
                  <w:snapToGrid w:val="0"/>
                  <w:rPr>
                    <w:sz w:val="1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asciiTheme="majorEastAsia" w:hAnsiTheme="majorEastAsia" w:eastAsiaTheme="majorEastAsia" w:cstheme="majorEastAsia"/>
                    <w:sz w:val="28"/>
                    <w:szCs w:val="28"/>
                  </w:rPr>
                  <w:t>- 1 -</w:t>
                </w:r>
                <w:r>
                  <w:rPr>
                    <w:rFonts w:hint="eastAsia" w:asciiTheme="majorEastAsia" w:hAnsiTheme="majorEastAsia" w:eastAsiaTheme="majorEastAsia" w:cstheme="majorEastAsia"/>
                    <w:sz w:val="28"/>
                    <w:szCs w:val="28"/>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01EAA1"/>
    <w:multiLevelType w:val="singleLevel"/>
    <w:tmpl w:val="8001EAA1"/>
    <w:lvl w:ilvl="0" w:tentative="0">
      <w:start w:val="7"/>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revisionView w:markup="0"/>
  <w:documentProtection w:edit="trackedChanges" w:enforcement="0"/>
  <w:defaultTabStop w:val="420"/>
  <w:drawingGridHorizontalSpacing w:val="105"/>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865FCD"/>
    <w:rsid w:val="00083D7E"/>
    <w:rsid w:val="0008629D"/>
    <w:rsid w:val="00140067"/>
    <w:rsid w:val="00152842"/>
    <w:rsid w:val="001C3660"/>
    <w:rsid w:val="002103F3"/>
    <w:rsid w:val="00222319"/>
    <w:rsid w:val="00245AAE"/>
    <w:rsid w:val="00267F85"/>
    <w:rsid w:val="002A3C1F"/>
    <w:rsid w:val="002F27C2"/>
    <w:rsid w:val="00324D17"/>
    <w:rsid w:val="00331EC7"/>
    <w:rsid w:val="003C2E96"/>
    <w:rsid w:val="003F5C70"/>
    <w:rsid w:val="004114E3"/>
    <w:rsid w:val="00433575"/>
    <w:rsid w:val="00483F72"/>
    <w:rsid w:val="004C675A"/>
    <w:rsid w:val="004E33EE"/>
    <w:rsid w:val="005217E7"/>
    <w:rsid w:val="005900CE"/>
    <w:rsid w:val="005D362E"/>
    <w:rsid w:val="005D79D9"/>
    <w:rsid w:val="005E3F58"/>
    <w:rsid w:val="005F1AC7"/>
    <w:rsid w:val="006138B3"/>
    <w:rsid w:val="0065147F"/>
    <w:rsid w:val="00657927"/>
    <w:rsid w:val="00675EBE"/>
    <w:rsid w:val="006B5312"/>
    <w:rsid w:val="006D48E5"/>
    <w:rsid w:val="006E5EE4"/>
    <w:rsid w:val="006F6C88"/>
    <w:rsid w:val="00712222"/>
    <w:rsid w:val="0072343E"/>
    <w:rsid w:val="00734189"/>
    <w:rsid w:val="00775EAF"/>
    <w:rsid w:val="00842323"/>
    <w:rsid w:val="00865FCD"/>
    <w:rsid w:val="00892216"/>
    <w:rsid w:val="00892BC1"/>
    <w:rsid w:val="008A7547"/>
    <w:rsid w:val="008D758D"/>
    <w:rsid w:val="008F4449"/>
    <w:rsid w:val="00924E3B"/>
    <w:rsid w:val="009440F2"/>
    <w:rsid w:val="0097575E"/>
    <w:rsid w:val="0098408C"/>
    <w:rsid w:val="00A36A2A"/>
    <w:rsid w:val="00A64147"/>
    <w:rsid w:val="00AB5CDC"/>
    <w:rsid w:val="00AE41EB"/>
    <w:rsid w:val="00B02D1E"/>
    <w:rsid w:val="00B509B5"/>
    <w:rsid w:val="00B517A2"/>
    <w:rsid w:val="00B7043C"/>
    <w:rsid w:val="00B73764"/>
    <w:rsid w:val="00BB6939"/>
    <w:rsid w:val="00BF2898"/>
    <w:rsid w:val="00C12DEE"/>
    <w:rsid w:val="00C216B1"/>
    <w:rsid w:val="00C54E25"/>
    <w:rsid w:val="00C877B0"/>
    <w:rsid w:val="00CA5708"/>
    <w:rsid w:val="00D94476"/>
    <w:rsid w:val="00DE6F34"/>
    <w:rsid w:val="00E413D4"/>
    <w:rsid w:val="00E57F01"/>
    <w:rsid w:val="00ED2FC8"/>
    <w:rsid w:val="00EE1BD1"/>
    <w:rsid w:val="00F30333"/>
    <w:rsid w:val="00F36B36"/>
    <w:rsid w:val="00F944A3"/>
    <w:rsid w:val="00F97BE0"/>
    <w:rsid w:val="00FA4963"/>
    <w:rsid w:val="00FE5AEF"/>
    <w:rsid w:val="01320784"/>
    <w:rsid w:val="03561BDA"/>
    <w:rsid w:val="04614D92"/>
    <w:rsid w:val="06BA5CD0"/>
    <w:rsid w:val="15CD7D54"/>
    <w:rsid w:val="1D066CEE"/>
    <w:rsid w:val="1E273BE8"/>
    <w:rsid w:val="28A42036"/>
    <w:rsid w:val="39BA1E06"/>
    <w:rsid w:val="420610DF"/>
    <w:rsid w:val="48966425"/>
    <w:rsid w:val="4C7E4C36"/>
    <w:rsid w:val="6CD4403E"/>
    <w:rsid w:val="7B5F2F59"/>
    <w:rsid w:val="7CF174A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方正黑体_GBK"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unhideWhenUsed/>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footer"/>
    <w:basedOn w:val="1"/>
    <w:link w:val="13"/>
    <w:unhideWhenUsed/>
    <w:qFormat/>
    <w:uiPriority w:val="99"/>
    <w:pPr>
      <w:tabs>
        <w:tab w:val="center" w:pos="4153"/>
        <w:tab w:val="right" w:pos="8306"/>
      </w:tabs>
      <w:snapToGrid w:val="0"/>
      <w:jc w:val="left"/>
    </w:pPr>
    <w:rPr>
      <w:sz w:val="18"/>
      <w:szCs w:val="18"/>
    </w:rPr>
  </w:style>
  <w:style w:type="paragraph" w:styleId="3">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rPr>
      <w:sz w:val="24"/>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Strong"/>
    <w:basedOn w:val="7"/>
    <w:qFormat/>
    <w:uiPriority w:val="0"/>
    <w:rPr>
      <w:b/>
    </w:rPr>
  </w:style>
  <w:style w:type="character" w:styleId="9">
    <w:name w:val="page number"/>
    <w:basedOn w:val="7"/>
    <w:unhideWhenUsed/>
    <w:qFormat/>
    <w:uiPriority w:val="99"/>
  </w:style>
  <w:style w:type="character" w:styleId="10">
    <w:name w:val="Hyperlink"/>
    <w:basedOn w:val="7"/>
    <w:unhideWhenUsed/>
    <w:qFormat/>
    <w:uiPriority w:val="99"/>
    <w:rPr>
      <w:color w:val="0000FF" w:themeColor="hyperlink"/>
      <w:u w:val="single"/>
    </w:rPr>
  </w:style>
  <w:style w:type="character" w:styleId="11">
    <w:name w:val="annotation reference"/>
    <w:basedOn w:val="7"/>
    <w:unhideWhenUsed/>
    <w:qFormat/>
    <w:uiPriority w:val="99"/>
    <w:rPr>
      <w:sz w:val="21"/>
      <w:szCs w:val="21"/>
    </w:rPr>
  </w:style>
  <w:style w:type="character" w:customStyle="1" w:styleId="12">
    <w:name w:val="页眉 Char"/>
    <w:basedOn w:val="7"/>
    <w:link w:val="3"/>
    <w:semiHidden/>
    <w:qFormat/>
    <w:uiPriority w:val="99"/>
    <w:rPr>
      <w:sz w:val="18"/>
      <w:szCs w:val="18"/>
    </w:rPr>
  </w:style>
  <w:style w:type="character" w:customStyle="1" w:styleId="13">
    <w:name w:val="页脚 Char"/>
    <w:basedOn w:val="7"/>
    <w:link w:val="2"/>
    <w:semiHidden/>
    <w:qFormat/>
    <w:uiPriority w:val="99"/>
    <w:rPr>
      <w:sz w:val="18"/>
      <w:szCs w:val="18"/>
    </w:rPr>
  </w:style>
  <w:style w:type="paragraph" w:customStyle="1" w:styleId="14">
    <w:name w:val="列出段落1"/>
    <w:basedOn w:val="1"/>
    <w:qFormat/>
    <w:uiPriority w:val="99"/>
    <w:pPr>
      <w:ind w:firstLine="420" w:firstLineChars="200"/>
    </w:pPr>
    <w:rPr>
      <w:rFonts w:ascii="Times New Roman" w:hAnsi="Times New Roman" w:eastAsia="宋体" w:cs="Times New Roman"/>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23</Pages>
  <Words>9678</Words>
  <Characters>9899</Characters>
  <Lines>80</Lines>
  <Paragraphs>22</Paragraphs>
  <TotalTime>2</TotalTime>
  <ScaleCrop>false</ScaleCrop>
  <LinksUpToDate>false</LinksUpToDate>
  <CharactersWithSpaces>11290</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2020-10-29T02:51:00Z</dcterms:created>
  <dc:creator>Microsoft</dc:creator>
  <cp:lastModifiedBy>butf</cp:lastModifiedBy>
  <dcterms:modified xsi:type="dcterms:W3CDTF">2023-03-10T01:16:32Z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AD94851759084907B35BD756A1105A4B</vt:lpwstr>
  </property>
</Properties>
</file>