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关于移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交住宅室内装饰装修涉嫌违法线索情况的报告（参考）</w:t>
      </w:r>
    </w:p>
    <w:p>
      <w:pPr>
        <w:snapToGrid w:val="0"/>
        <w:spacing w:line="360" w:lineRule="auto"/>
        <w:rPr>
          <w:color w:val="auto"/>
          <w:kern w:val="0"/>
          <w:sz w:val="26"/>
          <w:szCs w:val="26"/>
          <w:highlight w:val="none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XXX：</w:t>
      </w:r>
    </w:p>
    <w:p>
      <w:pPr>
        <w:snapToGrid w:val="0"/>
        <w:spacing w:line="360" w:lineRule="auto"/>
        <w:ind w:firstLine="640" w:firstLineChars="200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我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住宅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室内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装饰装修巡查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检查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中发现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涉嫌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违法行为，现将《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住宅装饰装修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涉嫌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违法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线索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情况表》（详见附件）移交贵单位。</w:t>
      </w:r>
    </w:p>
    <w:p>
      <w:pPr>
        <w:pStyle w:val="2"/>
        <w:rPr>
          <w:highlight w:val="none"/>
        </w:rPr>
      </w:pPr>
    </w:p>
    <w:p>
      <w:pPr>
        <w:snapToGrid w:val="0"/>
        <w:spacing w:line="360" w:lineRule="auto"/>
        <w:ind w:firstLine="640" w:firstLineChars="200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附件：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住宅装饰装修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涉嫌违法线索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情况表</w:t>
      </w:r>
    </w:p>
    <w:p>
      <w:pPr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 xml:space="preserve">  </w:t>
      </w:r>
    </w:p>
    <w:p>
      <w:pPr>
        <w:spacing w:line="560" w:lineRule="exact"/>
        <w:jc w:val="center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小区管理单位（盖章）：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1785" w:rightChars="85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napToGrid w:val="0"/>
        <w:spacing w:line="360" w:lineRule="auto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napToGrid w:val="0"/>
        <w:ind w:right="600" w:firstLine="5220" w:firstLineChars="1450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spacing w:line="48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</w:p>
    <w:p>
      <w:pPr>
        <w:spacing w:line="48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住宅室内装饰装修涉嫌违法线索情况表</w:t>
      </w:r>
    </w:p>
    <w:p>
      <w:pPr>
        <w:spacing w:line="480" w:lineRule="auto"/>
        <w:rPr>
          <w:rFonts w:hint="default" w:eastAsia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eastAsia="zh-CN"/>
        </w:rPr>
        <w:t>小区名称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 xml:space="preserve">： 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联系人：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 xml:space="preserve"> 联系电话：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</w:p>
    <w:tbl>
      <w:tblPr>
        <w:tblStyle w:val="4"/>
        <w:tblW w:w="9180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64"/>
        <w:gridCol w:w="1080"/>
        <w:gridCol w:w="563"/>
        <w:gridCol w:w="866"/>
        <w:gridCol w:w="1441"/>
        <w:gridCol w:w="236"/>
        <w:gridCol w:w="1203"/>
        <w:gridCol w:w="360"/>
        <w:gridCol w:w="720"/>
        <w:gridCol w:w="300"/>
        <w:gridCol w:w="16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8" w:hRule="atLeast"/>
        </w:trPr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案由</w:t>
            </w:r>
          </w:p>
        </w:tc>
        <w:tc>
          <w:tcPr>
            <w:tcW w:w="57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涉嫌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XXXXXX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案件来源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巡查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检查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发现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/小区业主举报等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当事人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装修人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姓  名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房   号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电  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装饰装修企业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72" w:leftChars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负责人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企业地址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电  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1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案情简介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违法行为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发现时间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违法行为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发生地点</w:t>
            </w:r>
          </w:p>
        </w:tc>
        <w:tc>
          <w:tcPr>
            <w:tcW w:w="30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988" w:hRule="atLeast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724" w:type="dxa"/>
            <w:gridSpan w:val="11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before="0" w:beforeAutospacing="0" w:after="225" w:afterAutospacing="0" w:line="360" w:lineRule="atLeast"/>
              <w:ind w:firstLine="420"/>
              <w:rPr>
                <w:color w:val="auto"/>
                <w:highlight w:val="none"/>
              </w:rPr>
            </w:pPr>
            <w:r>
              <w:rPr>
                <w:rFonts w:eastAsia="仿宋_GB2312"/>
                <w:color w:val="auto"/>
                <w:kern w:val="2"/>
                <w:highlight w:val="none"/>
              </w:rPr>
              <w:t xml:space="preserve"> </w:t>
            </w:r>
          </w:p>
        </w:tc>
      </w:tr>
    </w:tbl>
    <w:p/>
    <w:sectPr>
      <w:pgSz w:w="11906" w:h="16838"/>
      <w:pgMar w:top="1531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83E53"/>
    <w:rsid w:val="0A8C3835"/>
    <w:rsid w:val="1E2F6299"/>
    <w:rsid w:val="352B1B82"/>
    <w:rsid w:val="67383E53"/>
    <w:rsid w:val="7FF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2023-07-11T17:10:00Z</dcterms:created>
  <dc:creator>覃璇璇</dc:creator>
  <cp:lastModifiedBy>覃璇璇</cp:lastModifiedBy>
  <dcterms:modified xsi:type="dcterms:W3CDTF">2023-10-08T08:06:40Z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