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11.0.0 -->
  <w:body>
    <w:p>
      <w:pPr>
        <w:jc w:val="left"/>
        <w:rPr>
          <w:rFonts w:ascii="Times New Roman" w:eastAsia="黑体" w:hAnsi="Times New Roman" w:cs="Times New Roman" w:hint="default"/>
          <w:color w:val="auto"/>
          <w:sz w:val="28"/>
          <w:szCs w:val="28"/>
          <w:highlight w:val="none"/>
        </w:rPr>
      </w:pPr>
      <w:r>
        <w:rPr>
          <w:rFonts w:ascii="Times New Roman" w:eastAsia="黑体" w:hAnsi="Times New Roman" w:cs="Times New Roman" w:hint="default"/>
          <w:color w:val="auto"/>
          <w:sz w:val="28"/>
          <w:szCs w:val="28"/>
          <w:highlight w:val="none"/>
        </w:rPr>
        <w:t>附件2</w:t>
      </w:r>
    </w:p>
    <w:p>
      <w:pPr>
        <w:snapToGrid w:val="0"/>
        <w:jc w:val="left"/>
        <w:rPr>
          <w:rFonts w:ascii="Times New Roman" w:eastAsia="黑体" w:hAnsi="Times New Roman" w:cs="Times New Roman" w:hint="default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jc w:val="center"/>
        <w:rPr>
          <w:rFonts w:ascii="Times New Roman" w:eastAsia="方正小标宋简体" w:hAnsi="Times New Roman" w:cs="Times New Roman" w:hint="default"/>
          <w:b w:val="0"/>
          <w:bCs/>
          <w:color w:val="auto"/>
          <w:w w:val="100"/>
          <w:sz w:val="44"/>
          <w:szCs w:val="44"/>
          <w:highlight w:val="none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auto"/>
          <w:w w:val="100"/>
          <w:sz w:val="44"/>
          <w:szCs w:val="44"/>
          <w:highlight w:val="none"/>
        </w:rPr>
        <w:t>202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auto"/>
          <w:w w:val="100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eastAsia="方正小标宋简体" w:hAnsi="Times New Roman" w:cs="Times New Roman" w:hint="default"/>
          <w:b w:val="0"/>
          <w:bCs/>
          <w:color w:val="auto"/>
          <w:w w:val="100"/>
          <w:sz w:val="44"/>
          <w:szCs w:val="44"/>
          <w:highlight w:val="none"/>
        </w:rPr>
        <w:t>年柳州市人才</w:t>
      </w:r>
      <w:r>
        <w:rPr>
          <w:rFonts w:ascii="Times New Roman" w:eastAsia="方正小标宋简体" w:hAnsi="Times New Roman" w:cs="Times New Roman" w:hint="eastAsia"/>
          <w:b w:val="0"/>
          <w:bCs/>
          <w:color w:val="auto"/>
          <w:w w:val="100"/>
          <w:sz w:val="44"/>
          <w:szCs w:val="44"/>
          <w:highlight w:val="none"/>
          <w:lang w:eastAsia="zh-CN"/>
        </w:rPr>
        <w:t>保障性租赁住房</w:t>
      </w:r>
      <w:r>
        <w:rPr>
          <w:rFonts w:ascii="Times New Roman" w:eastAsia="方正小标宋简体" w:hAnsi="Times New Roman" w:cs="Times New Roman" w:hint="default"/>
          <w:b w:val="0"/>
          <w:bCs/>
          <w:color w:val="auto"/>
          <w:w w:val="100"/>
          <w:sz w:val="44"/>
          <w:szCs w:val="44"/>
          <w:highlight w:val="none"/>
        </w:rPr>
        <w:t>承租家庭</w:t>
      </w:r>
    </w:p>
    <w:p>
      <w:pPr>
        <w:adjustRightInd w:val="0"/>
        <w:snapToGrid w:val="0"/>
        <w:jc w:val="center"/>
        <w:rPr>
          <w:rFonts w:ascii="Times New Roman" w:eastAsia="方正小标宋简体" w:hAnsi="Times New Roman" w:cs="Times New Roman" w:hint="default"/>
          <w:b w:val="0"/>
          <w:bCs/>
          <w:color w:val="auto"/>
          <w:w w:val="100"/>
          <w:sz w:val="44"/>
          <w:szCs w:val="44"/>
          <w:highlight w:val="none"/>
        </w:rPr>
      </w:pPr>
      <w:r>
        <w:rPr>
          <w:rFonts w:ascii="Times New Roman" w:eastAsia="方正小标宋简体" w:hAnsi="Times New Roman" w:cs="Times New Roman" w:hint="default"/>
          <w:b w:val="0"/>
          <w:bCs/>
          <w:color w:val="auto"/>
          <w:w w:val="100"/>
          <w:sz w:val="44"/>
          <w:szCs w:val="44"/>
          <w:highlight w:val="none"/>
        </w:rPr>
        <w:t>年审申报表</w:t>
      </w:r>
    </w:p>
    <w:p>
      <w:pPr>
        <w:adjustRightInd w:val="0"/>
        <w:snapToGrid w:val="0"/>
        <w:jc w:val="center"/>
        <w:rPr>
          <w:rFonts w:ascii="Times New Roman" w:eastAsia="方正小标宋简体" w:hAnsi="Times New Roman" w:cs="Times New Roman" w:hint="default"/>
          <w:b w:val="0"/>
          <w:bCs/>
          <w:color w:val="auto"/>
          <w:spacing w:val="-16"/>
          <w:w w:val="100"/>
          <w:sz w:val="44"/>
          <w:szCs w:val="44"/>
          <w:highlight w:val="none"/>
        </w:rPr>
      </w:pPr>
      <w:r>
        <w:rPr>
          <w:rFonts w:ascii="Times New Roman" w:eastAsia="方正小标宋简体" w:hAnsi="Times New Roman" w:cs="Times New Roman" w:hint="default"/>
          <w:b w:val="0"/>
          <w:bCs/>
          <w:color w:val="auto"/>
          <w:w w:val="100"/>
          <w:sz w:val="44"/>
          <w:szCs w:val="44"/>
          <w:highlight w:val="none"/>
        </w:rPr>
        <w:t>（信息有变化）</w:t>
      </w:r>
    </w:p>
    <w:p>
      <w:pPr>
        <w:adjustRightInd w:val="0"/>
        <w:snapToGrid w:val="0"/>
        <w:spacing w:line="336" w:lineRule="auto"/>
        <w:rPr>
          <w:rFonts w:ascii="Times New Roman" w:eastAsia="仿宋_GB2312" w:hAnsi="Times New Roman" w:cs="Times New Roman" w:hint="default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36" w:lineRule="auto"/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  <w:u w:val="single"/>
        </w:rPr>
      </w:pP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</w:rPr>
        <w:t>承租地址：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</w:rPr>
        <w:t>小区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</w:rPr>
        <w:t>栋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</w:rPr>
        <w:t>单元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highlight w:val="none"/>
        </w:rPr>
        <w:t>号房（两房一厅/标准间）</w:t>
      </w:r>
    </w:p>
    <w:tbl>
      <w:tblPr>
        <w:tblStyle w:val="TableGrid"/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9"/>
        <w:gridCol w:w="1039"/>
        <w:gridCol w:w="1080"/>
        <w:gridCol w:w="2160"/>
        <w:gridCol w:w="709"/>
        <w:gridCol w:w="2855"/>
        <w:gridCol w:w="1506"/>
      </w:tblGrid>
      <w:tr>
        <w:tblPrEx>
          <w:tblW w:w="98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99"/>
          <w:jc w:val="center"/>
        </w:trPr>
        <w:tc>
          <w:tcPr>
            <w:tcW w:w="9818" w:type="dxa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auto"/>
                <w:sz w:val="28"/>
                <w:szCs w:val="28"/>
                <w:highlight w:val="none"/>
              </w:rPr>
              <w:t>个人事项申报</w:t>
            </w:r>
          </w:p>
        </w:tc>
      </w:tr>
      <w:tr>
        <w:tblPrEx>
          <w:tblW w:w="981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jc w:val="center"/>
        </w:trPr>
        <w:tc>
          <w:tcPr>
            <w:tcW w:w="469" w:type="dxa"/>
            <w:vMerge w:val="restart"/>
            <w:vAlign w:val="center"/>
          </w:tcPr>
          <w:p>
            <w:pPr>
              <w:snapToGrid w:val="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申请家庭成员基本情况</w:t>
            </w:r>
          </w:p>
        </w:tc>
        <w:tc>
          <w:tcPr>
            <w:tcW w:w="103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  <w:kern w:val="0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snapToGrid w:val="0"/>
                <w:color w:val="auto"/>
                <w:kern w:val="0"/>
                <w:sz w:val="22"/>
                <w:highlight w:val="none"/>
              </w:rPr>
              <w:t>与申请人关系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身份证号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婚姻状况</w:t>
            </w:r>
          </w:p>
        </w:tc>
        <w:tc>
          <w:tcPr>
            <w:tcW w:w="2855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工作单位（在读院校）</w:t>
            </w:r>
          </w:p>
        </w:tc>
        <w:tc>
          <w:tcPr>
            <w:tcW w:w="1506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联系电话</w:t>
            </w:r>
          </w:p>
        </w:tc>
      </w:tr>
      <w:tr>
        <w:tblPrEx>
          <w:tblW w:w="981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67"/>
          <w:jc w:val="center"/>
        </w:trPr>
        <w:tc>
          <w:tcPr>
            <w:tcW w:w="469" w:type="dxa"/>
            <w:vMerge/>
            <w:vAlign w:val="center"/>
          </w:tcPr>
          <w:p>
            <w:pPr>
              <w:snapToGrid w:val="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3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855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</w:tr>
      <w:tr>
        <w:tblPrEx>
          <w:tblW w:w="981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67"/>
          <w:jc w:val="center"/>
        </w:trPr>
        <w:tc>
          <w:tcPr>
            <w:tcW w:w="469" w:type="dxa"/>
            <w:vMerge/>
            <w:vAlign w:val="center"/>
          </w:tcPr>
          <w:p>
            <w:pPr>
              <w:snapToGrid w:val="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3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855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</w:tr>
      <w:tr>
        <w:tblPrEx>
          <w:tblW w:w="981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67"/>
          <w:jc w:val="center"/>
        </w:trPr>
        <w:tc>
          <w:tcPr>
            <w:tcW w:w="469" w:type="dxa"/>
            <w:vMerge/>
            <w:vAlign w:val="center"/>
          </w:tcPr>
          <w:p>
            <w:pPr>
              <w:snapToGrid w:val="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3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855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</w:tr>
      <w:tr>
        <w:tblPrEx>
          <w:tblW w:w="981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hRule="exact" w:val="567"/>
          <w:jc w:val="center"/>
        </w:trPr>
        <w:tc>
          <w:tcPr>
            <w:tcW w:w="469" w:type="dxa"/>
            <w:vMerge/>
            <w:vAlign w:val="center"/>
          </w:tcPr>
          <w:p>
            <w:pPr>
              <w:snapToGrid w:val="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3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2855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snapToGrid w:val="0"/>
              <w:jc w:val="center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</w:tr>
      <w:tr>
        <w:tblPrEx>
          <w:tblW w:w="981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52"/>
          <w:jc w:val="center"/>
        </w:trPr>
        <w:tc>
          <w:tcPr>
            <w:tcW w:w="469" w:type="dxa"/>
            <w:vMerge/>
            <w:vAlign w:val="center"/>
          </w:tcPr>
          <w:p>
            <w:pPr>
              <w:snapToGrid w:val="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</w:p>
        </w:tc>
        <w:tc>
          <w:tcPr>
            <w:tcW w:w="9349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说明：婚姻状况分为：未婚、已婚、离异、再婚、丧偶。</w:t>
            </w:r>
          </w:p>
        </w:tc>
      </w:tr>
      <w:tr>
        <w:tblPrEx>
          <w:tblW w:w="981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81"/>
          <w:jc w:val="center"/>
        </w:trPr>
        <w:tc>
          <w:tcPr>
            <w:tcW w:w="9818" w:type="dxa"/>
            <w:gridSpan w:val="7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eastAsia="仿宋_GB2312" w:hAnsi="Times New Roman" w:cs="Times New Roman" w:hint="default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b/>
                <w:color w:val="auto"/>
                <w:sz w:val="28"/>
                <w:szCs w:val="28"/>
                <w:highlight w:val="none"/>
              </w:rPr>
              <w:t>申请人人才类型（在相应的</w:t>
            </w:r>
            <w:r>
              <w:rPr>
                <w:rFonts w:ascii="仿宋_GB2312" w:eastAsia="仿宋_GB2312" w:hAnsi="仿宋_GB2312" w:cs="仿宋_GB2312" w:hint="eastAsia"/>
                <w:b/>
                <w:color w:val="auto"/>
                <w:sz w:val="28"/>
                <w:szCs w:val="28"/>
                <w:highlight w:val="none"/>
              </w:rPr>
              <w:t>“□”</w:t>
            </w:r>
            <w:r>
              <w:rPr>
                <w:rFonts w:ascii="Times New Roman" w:eastAsia="仿宋_GB2312" w:hAnsi="Times New Roman" w:cs="Times New Roman" w:hint="default"/>
                <w:b/>
                <w:color w:val="auto"/>
                <w:sz w:val="28"/>
                <w:szCs w:val="28"/>
                <w:highlight w:val="none"/>
              </w:rPr>
              <w:t>内打</w:t>
            </w:r>
            <w:r>
              <w:rPr>
                <w:rFonts w:ascii="仿宋_GB2312" w:eastAsia="仿宋_GB2312" w:hAnsi="仿宋_GB2312" w:cs="仿宋_GB2312" w:hint="eastAsia"/>
                <w:b/>
                <w:color w:val="auto"/>
                <w:sz w:val="28"/>
                <w:szCs w:val="28"/>
                <w:highlight w:val="none"/>
              </w:rPr>
              <w:t>“√”</w:t>
            </w:r>
            <w:r>
              <w:rPr>
                <w:rFonts w:ascii="Times New Roman" w:eastAsia="仿宋_GB2312" w:hAnsi="Times New Roman" w:cs="Times New Roman" w:hint="default"/>
                <w:b/>
                <w:color w:val="auto"/>
                <w:sz w:val="28"/>
                <w:szCs w:val="28"/>
                <w:highlight w:val="none"/>
              </w:rPr>
              <w:t>）：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（一）2022年第一批次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A类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B类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C类  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D类；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新引进在柳州市属企事业单位工作，签订三年以上劳动合同，并在柳参加社会保险的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：□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全日制博士研究生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具有副高职称的硕士研究生；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博士定向选调生；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以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“柔性引才”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的方式引进到柳州开展服务的高层次顾问专家。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（二）2022年第二批次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A类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B类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C类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D类  </w:t>
            </w: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E类；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2018年10月1月（含）以后新引进在柳州市属企事业单位工作，签订3年以上劳动合同，并在柳参加社会保险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的“双一流”建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设高校及建设学科的硕士；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2018年1月1日（含）以后到柳工作的：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□博士定向选调生、□硕士定向选调生、□教育部直属师范大学公费师范生；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以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“柔性引才”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的方式引进到柳州开展服务的高层次顾问专家。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>三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）202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>3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年批次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符合人才新政1.0版（柳发〔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>2018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〕17号）分类标准并已认定的F类及以上人才。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A类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B类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C类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D类  </w:t>
            </w: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E类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>F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类；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符合人才新政2.0版（柳发〔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>2022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〕7号）分类标准并已认定的G类及以上人才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A类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B类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C类  </w:t>
            </w:r>
            <w:r>
              <w:rPr>
                <w:rFonts w:ascii="Wingdings 2" w:eastAsia="仿宋_GB2312" w:hAnsi="Wingdings 2" w:cs="仿宋_GB2312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 xml:space="preserve">D类  </w:t>
            </w: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E类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>F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类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highlight w:val="none"/>
                <w:lang w:val="en-US" w:eastAsia="zh-CN"/>
              </w:rPr>
              <w:t>G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类；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2018年1月1日（含）以后到柳工作的：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□博士定向选调生、□硕士定向选调生、□教育部直属师范大学公费师范生；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</w:pPr>
            <w:r>
              <w:rPr>
                <w:rFonts w:ascii="Wingdings 2" w:eastAsia="仿宋_GB2312" w:hAnsi="Wingdings 2" w:cs="Times New Roman"/>
                <w:color w:val="auto"/>
                <w:sz w:val="22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以</w:t>
            </w:r>
            <w:r>
              <w:rPr>
                <w:rFonts w:ascii="仿宋_GB2312" w:eastAsia="仿宋_GB2312" w:hAnsi="仿宋_GB2312" w:cs="仿宋_GB2312" w:hint="eastAsia"/>
                <w:color w:val="auto"/>
                <w:sz w:val="22"/>
                <w:highlight w:val="none"/>
              </w:rPr>
              <w:t>“柔性引才”</w:t>
            </w:r>
            <w:r>
              <w:rPr>
                <w:rFonts w:ascii="Times New Roman" w:eastAsia="仿宋_GB2312" w:hAnsi="Times New Roman" w:cs="Times New Roman" w:hint="default"/>
                <w:color w:val="auto"/>
                <w:sz w:val="22"/>
                <w:highlight w:val="none"/>
              </w:rPr>
              <w:t>的方式引进柳州开展服务的高层次顾问专家。</w:t>
            </w:r>
          </w:p>
        </w:tc>
      </w:tr>
    </w:tbl>
    <w:p>
      <w:pPr>
        <w:adjustRightInd w:val="0"/>
        <w:snapToGrid w:val="0"/>
        <w:spacing w:line="300" w:lineRule="auto"/>
        <w:jc w:val="center"/>
        <w:rPr>
          <w:rFonts w:ascii="Times New Roman" w:eastAsia="仿宋_GB2312" w:hAnsi="Times New Roman" w:cs="Times New Roman" w:hint="default"/>
          <w:b/>
          <w:color w:val="auto"/>
          <w:sz w:val="2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22"/>
          <w:highlight w:val="none"/>
        </w:rPr>
        <w:t>（本表如有涂改应在涂改处签名，空白处应用斜线划去）</w:t>
      </w:r>
    </w:p>
    <w:p>
      <w:pPr>
        <w:adjustRightInd w:val="0"/>
        <w:snapToGrid w:val="0"/>
        <w:ind w:firstLine="420" w:firstLineChars="200"/>
        <w:jc w:val="left"/>
        <w:rPr>
          <w:rFonts w:ascii="Times New Roman" w:eastAsia="仿宋_GB2312" w:hAnsi="Times New Roman" w:cs="Times New Roman" w:hint="default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12" w:lineRule="auto"/>
        <w:ind w:right="210" w:rightChars="100"/>
        <w:jc w:val="center"/>
        <w:rPr>
          <w:rFonts w:ascii="Times New Roman" w:eastAsia="方正小标宋简体" w:hAnsi="Times New Roman" w:cs="Times New Roman" w:hint="default"/>
          <w:b w:val="0"/>
          <w:bCs/>
          <w:color w:val="auto"/>
          <w:spacing w:val="20"/>
          <w:sz w:val="44"/>
          <w:szCs w:val="44"/>
          <w:highlight w:val="none"/>
        </w:rPr>
      </w:pPr>
    </w:p>
    <w:p>
      <w:pPr>
        <w:adjustRightInd w:val="0"/>
        <w:snapToGrid w:val="0"/>
        <w:spacing w:line="312" w:lineRule="auto"/>
        <w:ind w:right="210" w:rightChars="100"/>
        <w:jc w:val="center"/>
        <w:rPr>
          <w:rFonts w:ascii="Times New Roman" w:eastAsia="方正小标宋简体" w:hAnsi="Times New Roman" w:cs="Times New Roman" w:hint="default"/>
          <w:b w:val="0"/>
          <w:bCs/>
          <w:color w:val="auto"/>
          <w:spacing w:val="20"/>
          <w:sz w:val="44"/>
          <w:szCs w:val="44"/>
          <w:highlight w:val="none"/>
        </w:rPr>
      </w:pPr>
    </w:p>
    <w:p>
      <w:pPr>
        <w:adjustRightInd w:val="0"/>
        <w:snapToGrid w:val="0"/>
        <w:spacing w:line="312" w:lineRule="auto"/>
        <w:ind w:right="210" w:rightChars="100"/>
        <w:jc w:val="center"/>
        <w:rPr>
          <w:rFonts w:ascii="Times New Roman" w:eastAsia="方正小标宋简体" w:hAnsi="Times New Roman" w:cs="Times New Roman" w:hint="default"/>
          <w:b w:val="0"/>
          <w:bCs/>
          <w:color w:val="auto"/>
          <w:spacing w:val="20"/>
          <w:sz w:val="44"/>
          <w:szCs w:val="44"/>
          <w:highlight w:val="none"/>
        </w:rPr>
      </w:pPr>
      <w:r>
        <w:rPr>
          <w:rFonts w:ascii="Times New Roman" w:eastAsia="方正小标宋简体" w:hAnsi="Times New Roman" w:cs="Times New Roman" w:hint="default"/>
          <w:b w:val="0"/>
          <w:bCs/>
          <w:color w:val="auto"/>
          <w:spacing w:val="20"/>
          <w:sz w:val="44"/>
          <w:szCs w:val="44"/>
          <w:highlight w:val="none"/>
        </w:rPr>
        <w:t>承 诺 书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本人及全体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"/>
        </w:rPr>
        <w:t>共住人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作出如下承诺和声明：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一、本人及全体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"/>
        </w:rPr>
        <w:t>共住人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保证所填报的内容及所提交相关材料的真实性负责，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"/>
        </w:rPr>
        <w:t>不存在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弄虚作假，骗取分配资格的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"/>
        </w:rPr>
        <w:t>情况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二、本人及全体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"/>
        </w:rPr>
        <w:t>共住人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同意柳州市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"/>
        </w:rPr>
        <w:t>住房保障主管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部门</w:t>
      </w:r>
      <w:r>
        <w:rPr>
          <w:rFonts w:ascii="Times New Roman" w:eastAsia="仿宋_GB2312" w:hAnsi="Times New Roman" w:cs="Times New Roman" w:hint="default"/>
          <w:strike w:val="0"/>
          <w:dstrike w:val="0"/>
          <w:color w:val="auto"/>
          <w:sz w:val="32"/>
          <w:szCs w:val="32"/>
          <w:highlight w:val="none"/>
        </w:rPr>
        <w:t>在审查资格条件时，</w:t>
      </w:r>
      <w:r>
        <w:rPr>
          <w:rFonts w:ascii="Times New Roman" w:eastAsia="仿宋_GB2312" w:hAnsi="Times New Roman" w:cs="Times New Roman" w:hint="default"/>
          <w:strike w:val="0"/>
          <w:color w:val="auto"/>
          <w:sz w:val="32"/>
          <w:szCs w:val="32"/>
          <w:highlight w:val="none"/>
        </w:rPr>
        <w:t>向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有关单位和个人收集、核对比较及公示本人及家庭成员的相关信息资料；授权拥有本人及家庭成员个人信息、资料的单位（部门）或个人，向有关管理部门提供本人及家庭成员的相关信息资料。</w:t>
      </w:r>
    </w:p>
    <w:p>
      <w:pPr>
        <w:adjustRightInd w:val="0"/>
        <w:snapToGrid w:val="0"/>
        <w:spacing w:line="312" w:lineRule="auto"/>
        <w:ind w:right="210" w:firstLine="420" w:rightChars="100" w:firstLineChars="200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本人及全体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"/>
        </w:rPr>
        <w:t>共住人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>将严格遵守以上承诺，并承担违反承诺的责任和后果。</w:t>
      </w:r>
    </w:p>
    <w:p>
      <w:pPr>
        <w:adjustRightInd w:val="0"/>
        <w:snapToGrid w:val="0"/>
        <w:spacing w:line="312" w:lineRule="auto"/>
        <w:ind w:left="2415" w:right="210" w:hanging="1995" w:leftChars="200" w:rightChars="100" w:hangingChars="950"/>
        <w:jc w:val="left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 xml:space="preserve">                                                                      承诺人签字（按手印）：</w:t>
      </w:r>
    </w:p>
    <w:p>
      <w:pPr>
        <w:adjustRightInd w:val="0"/>
        <w:snapToGrid w:val="0"/>
        <w:spacing w:line="312" w:lineRule="auto"/>
        <w:jc w:val="center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 xml:space="preserve">               </w:t>
      </w:r>
    </w:p>
    <w:p>
      <w:pPr>
        <w:adjustRightInd w:val="0"/>
        <w:snapToGrid w:val="0"/>
        <w:spacing w:line="312" w:lineRule="auto"/>
        <w:jc w:val="center"/>
        <w:rPr>
          <w:rFonts w:ascii="Times New Roman" w:eastAsia="仿宋_GB2312" w:hAnsi="Times New Roman" w:cs="Times New Roman" w:hint="default"/>
          <w:b/>
          <w:color w:val="auto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 xml:space="preserve">                 时  间：</w:t>
      </w:r>
    </w:p>
    <w:p>
      <w:pPr>
        <w:spacing w:line="700" w:lineRule="exact"/>
        <w:jc w:val="center"/>
        <w:rPr>
          <w:rFonts w:ascii="Times New Roman" w:eastAsia="仿宋_GB2312" w:hAnsi="Times New Roman" w:cs="Times New Roman" w:hint="default"/>
          <w:strike/>
          <w:color w:val="auto"/>
          <w:sz w:val="20"/>
          <w:szCs w:val="20"/>
          <w:highlight w:val="none"/>
        </w:rPr>
        <w:sectPr>
          <w:headerReference w:type="default" r:id="rId4"/>
          <w:footerReference w:type="default" r:id="rId5"/>
          <w:pgSz w:w="11906" w:h="16838"/>
          <w:pgMar w:top="1418" w:right="1418" w:bottom="1418" w:left="1418" w:header="851" w:footer="567" w:gutter="0"/>
          <w:pgNumType w:fmt="numberInDash"/>
          <w:cols w:space="720"/>
          <w:titlePg/>
          <w:docGrid w:type="linesAndChars" w:linePitch="312" w:charSpace="0"/>
        </w:sectPr>
      </w:pPr>
    </w:p>
    <w:tbl>
      <w:tblPr>
        <w:tblStyle w:val="TableGrid"/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1"/>
        <w:gridCol w:w="13608"/>
      </w:tblGrid>
      <w:tr>
        <w:tblPrEx>
          <w:tblW w:w="14459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392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  <w:t>运营管理单位意见</w:t>
            </w:r>
          </w:p>
        </w:tc>
        <w:tc>
          <w:tcPr>
            <w:tcW w:w="13608" w:type="dxa"/>
          </w:tcPr>
          <w:p>
            <w:pPr>
              <w:adjustRightInd w:val="0"/>
              <w:snapToGrid w:val="0"/>
              <w:spacing w:before="120" w:beforeLines="50"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经调查：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申请人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及家庭成员共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人，未违反柳州市人才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使用管理规定，现拟申报。</w:t>
            </w:r>
          </w:p>
          <w:p>
            <w:pPr>
              <w:adjustRightInd w:val="0"/>
              <w:snapToGrid w:val="0"/>
              <w:spacing w:line="324" w:lineRule="auto"/>
              <w:ind w:right="210" w:firstLine="315" w:rightChars="100" w:firstLineChars="15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申请家庭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  <w:t>违规情况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1.转租、转借或改变所承租人才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用途的。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2.破坏或擅自装修所承租人才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，拒不恢复原状的。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Wingdings 2" w:eastAsia="仿宋_GB2312" w:hAnsi="Wingdings 2" w:cs="Times New Roman"/>
                <w:color w:val="auto"/>
                <w:szCs w:val="21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3.无正当理由连续3个月以上闲置人才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4.未按规定缴纳租金的。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其他：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                                              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324" w:lineRule="auto"/>
              <w:ind w:right="210" w:firstLine="315" w:rightChars="100" w:firstLineChars="15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经办人：                                                                运营单位：（盖章）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 xml:space="preserve">日期： </w:t>
            </w:r>
          </w:p>
        </w:tc>
      </w:tr>
      <w:tr>
        <w:tblPrEx>
          <w:tblW w:w="1445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85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  <w:t>市人才中心审核意见</w:t>
            </w:r>
          </w:p>
        </w:tc>
        <w:tc>
          <w:tcPr>
            <w:tcW w:w="13608" w:type="dxa"/>
          </w:tcPr>
          <w:p>
            <w:pPr>
              <w:adjustRightInd w:val="0"/>
              <w:snapToGrid w:val="0"/>
              <w:spacing w:before="120" w:beforeLines="50"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经审查：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Wingdings 2" w:eastAsia="仿宋_GB2312" w:hAnsi="Wingdings 2" w:cs="Times New Roman"/>
                <w:color w:val="auto"/>
                <w:szCs w:val="21"/>
                <w:highlight w:val="none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申请人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及家庭成员符合我市人才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  <w:t>保障性租赁住房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配租对象条件。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</w:pP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420" w:firstLineChars="2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申请家庭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lang w:val="en"/>
              </w:rPr>
              <w:t>违规情况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1.不在本市工作的；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2.</w:t>
            </w:r>
            <w:r>
              <w:rPr>
                <w:rFonts w:ascii="Times New Roman" w:eastAsia="仿宋_GB2312" w:hAnsi="Times New Roman" w:cs="Times New Roman" w:hint="default"/>
                <w:color w:val="auto"/>
                <w:kern w:val="0"/>
                <w:szCs w:val="21"/>
                <w:highlight w:val="none"/>
              </w:rPr>
              <w:t>享受政府购房（租房）补贴。</w:t>
            </w:r>
          </w:p>
          <w:p>
            <w:pPr>
              <w:widowControl/>
              <w:shd w:val="clear" w:color="auto" w:fill="FFFFFF"/>
              <w:adjustRightInd w:val="0"/>
              <w:snapToGrid w:val="0"/>
              <w:spacing w:line="324" w:lineRule="auto"/>
              <w:ind w:firstLine="840" w:firstLineChars="4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其他：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                                              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经办人：                                              柳州市人才服务和人事培训考试中心（盖章）</w:t>
            </w:r>
          </w:p>
          <w:p>
            <w:pPr>
              <w:adjustRightInd w:val="0"/>
              <w:snapToGrid w:val="0"/>
              <w:spacing w:line="324" w:lineRule="auto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 xml:space="preserve">日期： </w:t>
            </w:r>
          </w:p>
        </w:tc>
      </w:tr>
    </w:tbl>
    <w:p>
      <w:pPr>
        <w:spacing w:line="20" w:lineRule="exact"/>
        <w:rPr>
          <w:rFonts w:ascii="Times New Roman" w:eastAsia="仿宋_GB2312" w:hAnsi="Times New Roman" w:cs="Times New Roman" w:hint="default"/>
          <w:color w:val="auto"/>
          <w:szCs w:val="21"/>
          <w:highlight w:val="none"/>
        </w:rPr>
      </w:pPr>
    </w:p>
    <w:tbl>
      <w:tblPr>
        <w:tblStyle w:val="TableNormal"/>
        <w:tblpPr w:leftFromText="180" w:rightFromText="180" w:vertAnchor="text" w:horzAnchor="margin" w:tblpX="-34" w:tblpY="16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1"/>
        <w:gridCol w:w="3686"/>
        <w:gridCol w:w="9888"/>
      </w:tblGrid>
      <w:tr>
        <w:tblPrEx>
          <w:tblW w:w="144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95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  <w:t>市</w:t>
            </w:r>
            <w:r>
              <w:rPr>
                <w:rFonts w:ascii="Times New Roman" w:eastAsia="仿宋_GB2312" w:hAnsi="Times New Roman" w:cs="Times New Roman" w:hint="default"/>
                <w:color w:val="auto"/>
                <w:highlight w:val="none"/>
                <w:lang w:val="en"/>
              </w:rPr>
              <w:t>保障性住房服务中心</w:t>
            </w:r>
            <w:r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  <w:t>审核意见</w:t>
            </w:r>
          </w:p>
        </w:tc>
        <w:tc>
          <w:tcPr>
            <w:tcW w:w="13574" w:type="dxa"/>
            <w:gridSpan w:val="2"/>
            <w:vAlign w:val="center"/>
          </w:tcPr>
          <w:p>
            <w:pPr>
              <w:spacing w:line="400" w:lineRule="exact"/>
              <w:ind w:right="210" w:firstLine="420" w:rightChars="10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经核查，申请人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及家庭成员在本市城区内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shd w:val="clear" w:color="auto" w:fill="FFFFFF"/>
              </w:rPr>
              <w:t>无自有住房（产权房），未享受保障性住房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。</w:t>
            </w:r>
          </w:p>
        </w:tc>
      </w:tr>
      <w:tr>
        <w:tblPrEx>
          <w:tblW w:w="144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834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</w:pP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查出有房情况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1.有商品房网签、合同备案记录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2.有不动产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Times New Roman" w:eastAsia="仿宋_GB2312" w:hAnsi="Times New Roman" w:cs="Times New Roman" w:hint="default"/>
                <w:color w:val="auto"/>
                <w:sz w:val="24"/>
                <w:highlight w:val="none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Cs w:val="21"/>
                <w:highlight w:val="none"/>
              </w:rPr>
              <w:t>□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3.有保障性住房</w:t>
            </w:r>
          </w:p>
        </w:tc>
        <w:tc>
          <w:tcPr>
            <w:tcW w:w="9888" w:type="dxa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1.产权人或承租人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,地址：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                       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房屋性质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，建筑面积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㎡，取得时间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</w:t>
            </w:r>
          </w:p>
          <w:p>
            <w:pPr>
              <w:spacing w:line="240" w:lineRule="exact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2.产权人或承租人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,地址：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                       </w:t>
            </w:r>
          </w:p>
          <w:p>
            <w:pPr>
              <w:spacing w:line="240" w:lineRule="exact"/>
              <w:ind w:firstLine="1260" w:firstLineChars="6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房屋性质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，建筑面积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㎡，取得时间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3.产权人或承租人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,地址：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                       </w:t>
            </w:r>
          </w:p>
          <w:p>
            <w:pPr>
              <w:spacing w:line="240" w:lineRule="exact"/>
              <w:ind w:firstLine="1260" w:firstLineChars="6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房屋性质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，建筑面积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㎡，取得时间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 xml:space="preserve"> 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 w:val="24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其他</w:t>
            </w: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  <w:u w:val="single"/>
              </w:rPr>
              <w:t xml:space="preserve">                                                         </w:t>
            </w:r>
          </w:p>
        </w:tc>
      </w:tr>
      <w:tr>
        <w:tblPrEx>
          <w:tblW w:w="1442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20"/>
        </w:trPr>
        <w:tc>
          <w:tcPr>
            <w:tcW w:w="851" w:type="dxa"/>
            <w:vMerge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color w:val="auto"/>
                <w:highlight w:val="none"/>
              </w:rPr>
            </w:pPr>
          </w:p>
        </w:tc>
        <w:tc>
          <w:tcPr>
            <w:tcW w:w="13574" w:type="dxa"/>
            <w:gridSpan w:val="2"/>
            <w:vAlign w:val="center"/>
          </w:tcPr>
          <w:p>
            <w:pPr>
              <w:spacing w:line="360" w:lineRule="exact"/>
              <w:ind w:right="210" w:firstLine="210" w:rightChars="10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经办人：                                                      柳州市保障性住房服务中心（盖章）</w:t>
            </w:r>
          </w:p>
          <w:p>
            <w:pPr>
              <w:spacing w:line="240" w:lineRule="exact"/>
              <w:ind w:firstLine="210" w:firstLineChars="100"/>
              <w:jc w:val="left"/>
              <w:rPr>
                <w:rFonts w:ascii="Times New Roman" w:eastAsia="仿宋_GB2312" w:hAnsi="Times New Roman" w:cs="Times New Roman" w:hint="default"/>
                <w:color w:val="auto"/>
                <w:sz w:val="24"/>
                <w:highlight w:val="none"/>
              </w:rPr>
            </w:pPr>
            <w:r>
              <w:rPr>
                <w:rFonts w:ascii="Times New Roman" w:eastAsia="仿宋_GB2312" w:hAnsi="Times New Roman" w:cs="Times New Roman" w:hint="default"/>
                <w:color w:val="auto"/>
                <w:szCs w:val="21"/>
                <w:highlight w:val="none"/>
              </w:rPr>
              <w:t>日期：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Times New Roman" w:eastAsia="仿宋_GB2312" w:hAnsi="Times New Roman" w:cs="Times New Roman" w:hint="default"/>
          <w:color w:val="auto"/>
          <w:szCs w:val="21"/>
          <w:highlight w:val="none"/>
        </w:rPr>
      </w:pPr>
    </w:p>
    <w:sectPr>
      <w:pgSz w:w="16838" w:h="11906" w:orient="landscape"/>
      <w:pgMar w:top="1531" w:right="1440" w:bottom="1304" w:left="1440" w:header="851" w:footer="680" w:gutter="0"/>
      <w:pgNumType w:fmt="numberInDash"/>
      <w:cols w:space="720"/>
      <w:docGrid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in;margin-left:0;margin-top:0;mso-position-horizontal:outside;mso-position-horizontal-relative:margin;mso-wrap-style:none;position:absolute;v-text-anchor:top;width:2in;z-index:251659264" filled="f" stroked="f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jc w:val="center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gwcXRxNm9xdXRtZmJ0bDEzajhyYzg8L2FjY291bnQ+PG1hY2hpbmVDb2RlPkxDVDg5NkowMjEyMDUKPC9tYWNoaW5lQ29kZT48dGltZT4yMDI2LTAxLTI3IDE3OjM5OjA2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FlMDhmMTBjYjhkMzY3Mzc5YzU3ZWZhNjUxNzllNzc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157259040</TotalTime>
  <Pages>4</Pages>
  <Words>1353</Words>
  <Characters>1418</Characters>
  <Application>Microsoft Office Word</Application>
  <DocSecurity>0</DocSecurity>
  <Lines>15</Lines>
  <Paragraphs>4</Paragraphs>
  <ScaleCrop>false</ScaleCrop>
  <Company>Lenovo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陈青</dc:creator>
  <cp:lastModifiedBy>小熊嘟嘟</cp:lastModifiedBy>
  <cp:revision>14</cp:revision>
  <cp:lastPrinted>2026-01-08T00:31:23Z</cp:lastPrinted>
  <dcterms:created xsi:type="dcterms:W3CDTF">2023-10-25T23:33:00Z</dcterms:created>
  <dcterms:modified xsi:type="dcterms:W3CDTF">2026-01-08T08:46:01Z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BB416842EB6D4EFC9B61B6A1F412E60B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eyJoZGlkIjoiYzBjM2IzZDljNjU3ZGQzZmZlNjQ3YjhkYjU2NGE5MDYiLCJ1c2VySWQiOiI2MDM4MjM5MjkifQ==</vt:lpwstr>
  </property>
</Properties>
</file>