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_GBK" w:eastAsia="Times New Roman"/>
          <w:snapToGrid w:val="0"/>
          <w:color w:val="000000"/>
          <w:sz w:val="44"/>
          <w:szCs w:val="44"/>
        </w:rPr>
      </w:pPr>
      <w:r>
        <w:rPr>
          <w:rFonts w:ascii="?????_GBK" w:eastAsia="Times New Roman"/>
          <w:snapToGrid w:val="0"/>
          <w:color w:val="000000"/>
          <w:sz w:val="44"/>
          <w:szCs w:val="44"/>
        </w:rPr>
        <w:t>柳州市住房和城乡建设委员会权责清单</w:t>
      </w:r>
    </w:p>
    <w:p>
      <w:pPr>
        <w:adjustRightInd w:val="0"/>
        <w:snapToGrid w:val="0"/>
        <w:spacing w:line="560" w:lineRule="exact"/>
        <w:jc w:val="center"/>
        <w:rPr>
          <w:rFonts w:ascii="?????_GBK" w:eastAsia="Times New Roman"/>
          <w:snapToGrid w:val="0"/>
          <w:color w:val="000000"/>
          <w:sz w:val="44"/>
          <w:szCs w:val="44"/>
        </w:rPr>
      </w:pPr>
      <w:r>
        <w:rPr>
          <w:rFonts w:ascii="?????_GBK" w:eastAsia="Times New Roman"/>
          <w:snapToGrid w:val="0"/>
          <w:color w:val="000000"/>
          <w:sz w:val="44"/>
          <w:szCs w:val="44"/>
        </w:rPr>
        <w:t>（</w:t>
      </w:r>
      <w:r>
        <w:rPr>
          <w:rFonts w:hint="eastAsia" w:ascii="?????_GBK"/>
          <w:snapToGrid w:val="0"/>
          <w:color w:val="000000"/>
          <w:sz w:val="44"/>
          <w:szCs w:val="44"/>
          <w:lang w:val="en-US" w:eastAsia="zh-CN"/>
        </w:rPr>
        <w:t>2018.2.11</w:t>
      </w:r>
      <w:r>
        <w:rPr>
          <w:rFonts w:ascii="?????_GBK" w:eastAsia="Times New Roman"/>
          <w:snapToGrid w:val="0"/>
          <w:color w:val="000000"/>
          <w:sz w:val="44"/>
          <w:szCs w:val="44"/>
        </w:rPr>
        <w:t>）</w:t>
      </w:r>
    </w:p>
    <w:p>
      <w:pPr>
        <w:adjustRightInd w:val="0"/>
        <w:snapToGrid w:val="0"/>
        <w:spacing w:line="400" w:lineRule="exact"/>
        <w:rPr>
          <w:rFonts w:ascii="仿宋_GB2312" w:eastAsia="仿宋_GB2312"/>
          <w:snapToGrid w:val="0"/>
          <w:color w:val="000000"/>
          <w:sz w:val="18"/>
          <w:szCs w:val="18"/>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w:t>
            </w:r>
          </w:p>
        </w:tc>
        <w:tc>
          <w:tcPr>
            <w:tcW w:w="735" w:type="dxa"/>
            <w:vAlign w:val="center"/>
          </w:tcPr>
          <w:p>
            <w:pPr>
              <w:adjustRightInd w:val="0"/>
              <w:snapToGrid w:val="0"/>
              <w:spacing w:line="320"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城镇污水处理费征收</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日颁布）第七条凡设区的市、县（市）和建制镇已建成污水处理厂的，均应当征收污水处理费。</w:t>
            </w:r>
          </w:p>
          <w:p>
            <w:pPr>
              <w:ind w:firstLine="300" w:firstLineChars="150"/>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snapToGrid w:val="0"/>
                <w:color w:val="000000"/>
              </w:rPr>
            </w:pPr>
          </w:p>
        </w:tc>
        <w:tc>
          <w:tcPr>
            <w:tcW w:w="2970" w:type="dxa"/>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：公示告知征收标准、金额计算方式、征收适用类型、征收方式以及其他应当公示的内容；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审查城镇污水处理费征收的批准材料，对照材料，审查符合的征收标准；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：对照标准，计算并确认缴费数额，并要严格按照规定的范围、标准和时限要求征收城镇污水处理费。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57" w:lineRule="exact"/>
              <w:jc w:val="both"/>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【规章】《污水处理费征收使用管理办法》财税</w:t>
            </w:r>
            <w:r>
              <w:rPr>
                <w:rFonts w:ascii="仿宋_GB2312" w:hAnsi="仿宋_GB2312" w:eastAsia="仿宋_GB2312" w:cs="仿宋_GB2312"/>
              </w:rPr>
              <w:t>[2014]151</w:t>
            </w:r>
            <w:r>
              <w:rPr>
                <w:rFonts w:hint="eastAsia" w:ascii="仿宋_GB2312" w:hAnsi="仿宋_GB2312" w:eastAsia="仿宋_GB2312" w:cs="仿宋_GB2312"/>
              </w:rPr>
              <w:t>号第七条凡设区的市、县（市）和建制镇已建成污水处理厂的，均应当征收污水处理费。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390"/>
              <w:jc w:val="both"/>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日颁布）第三十五条污水处理费征收、使用管理有关部门的工作人员违反本办法规定，在污水处理费征收和使用管理工作中徇私舞弊、玩忽职守、滥用职权的，依法给予处分；涉嫌犯罪的，依法移送司法机关。</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7.其他法律法规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城市道路占用、挖掘修复费</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2970" w:type="dxa"/>
            <w:vAlign w:val="center"/>
          </w:tcPr>
          <w:p>
            <w:pPr>
              <w:ind w:firstLine="393" w:firstLineChars="196"/>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网上公示应提交的材料，一次性告知补齐材料；对不予受理申报的应当告知理由。</w:t>
            </w:r>
          </w:p>
          <w:p>
            <w:pPr>
              <w:ind w:firstLine="393" w:firstLineChars="196"/>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审核责任：</w:t>
            </w:r>
            <w:r>
              <w:rPr>
                <w:rFonts w:hint="eastAsia" w:ascii="仿宋_GB2312" w:hAnsi="仿宋_GB2312" w:eastAsia="仿宋_GB2312" w:cs="仿宋_GB2312"/>
              </w:rPr>
              <w:t>按照办理条件和标准，对符合条件的，提出同意的审查意见；对申请材料不齐全、不符合法定形式的，一次性告知申请单位补正的全部内容；对不属于柳州市住房和城乡建设委员会职权范围的，作出不予受理决定，并说明理由。</w:t>
            </w:r>
          </w:p>
          <w:p>
            <w:pPr>
              <w:ind w:firstLine="393" w:firstLineChars="196"/>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作出收费决定或者减免相关费用的决定，法定告知</w:t>
            </w:r>
            <w:r>
              <w:rPr>
                <w:rFonts w:ascii="仿宋_GB2312" w:hAnsi="仿宋_GB2312" w:eastAsia="仿宋_GB2312" w:cs="仿宋_GB2312"/>
              </w:rPr>
              <w:t>(</w:t>
            </w:r>
            <w:r>
              <w:rPr>
                <w:rFonts w:hint="eastAsia" w:ascii="仿宋_GB2312" w:hAnsi="仿宋_GB2312" w:eastAsia="仿宋_GB2312" w:cs="仿宋_GB2312"/>
              </w:rPr>
              <w:t>不予减免费用的应当书面告知理由</w:t>
            </w:r>
            <w:r>
              <w:rPr>
                <w:rFonts w:ascii="仿宋_GB2312" w:hAnsi="仿宋_GB2312" w:eastAsia="仿宋_GB2312" w:cs="仿宋_GB2312"/>
              </w:rPr>
              <w:t xml:space="preserve">) </w:t>
            </w:r>
            <w:r>
              <w:rPr>
                <w:rFonts w:hint="eastAsia" w:ascii="仿宋_GB2312" w:hAnsi="仿宋_GB2312" w:eastAsia="仿宋_GB2312" w:cs="仿宋_GB2312"/>
              </w:rPr>
              <w:t>。</w:t>
            </w:r>
          </w:p>
          <w:p>
            <w:pPr>
              <w:ind w:firstLine="393" w:firstLineChars="196"/>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建立实施监督检查的运行机制和管理制度，开展定期和不定期检查，依法采取相关处置措施。</w:t>
            </w:r>
          </w:p>
          <w:p>
            <w:pPr>
              <w:ind w:firstLine="393" w:firstLineChars="196"/>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Times New Roman"/>
              </w:rPr>
            </w:pPr>
            <w:r>
              <w:rPr>
                <w:rFonts w:ascii="仿宋_GB2312" w:hAnsi="仿宋_GB2312" w:eastAsia="仿宋_GB2312" w:cs="仿宋_GB2312"/>
              </w:rPr>
              <w:t xml:space="preserve">   1. </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rPr>
                <w:rFonts w:ascii="仿宋_GB2312" w:hAnsi="仿宋_GB2312" w:eastAsia="仿宋_GB2312" w:cs="Times New Roman"/>
              </w:rPr>
            </w:pPr>
            <w:r>
              <w:rPr>
                <w:rFonts w:ascii="仿宋_GB2312" w:hAnsi="仿宋_GB2312" w:eastAsia="仿宋_GB2312" w:cs="仿宋_GB2312"/>
              </w:rPr>
              <w:t xml:space="preserve">    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因不履行或不正确履行行政职责，有下列情形的，行政机关及相关工作人员应承担相应责任：</w:t>
            </w:r>
            <w:r>
              <w:rPr>
                <w:rFonts w:ascii="仿宋_GB2312" w:hAnsi="仿宋_GB2312" w:eastAsia="仿宋_GB2312" w:cs="Times New Roman"/>
              </w:rPr>
              <w:br w:type="textWrapping"/>
            </w:r>
            <w:r>
              <w:rPr>
                <w:rFonts w:ascii="仿宋_GB2312" w:hAnsi="仿宋_GB2312" w:eastAsia="仿宋_GB2312" w:cs="仿宋_GB2312"/>
              </w:rPr>
              <w:t>1.</w:t>
            </w:r>
            <w:r>
              <w:rPr>
                <w:rFonts w:hint="eastAsia" w:ascii="仿宋_GB2312" w:hAnsi="仿宋_GB2312" w:eastAsia="仿宋_GB2312" w:cs="仿宋_GB2312"/>
              </w:rPr>
              <w:t>擅自改变征收管理范围的；</w:t>
            </w:r>
            <w:r>
              <w:rPr>
                <w:rFonts w:ascii="仿宋_GB2312" w:hAnsi="仿宋_GB2312" w:eastAsia="仿宋_GB2312" w:cs="Times New Roman"/>
              </w:rPr>
              <w:br w:type="textWrapping"/>
            </w: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r>
              <w:rPr>
                <w:rFonts w:ascii="仿宋_GB2312" w:hAnsi="仿宋_GB2312" w:eastAsia="仿宋_GB2312" w:cs="Times New Roman"/>
              </w:rPr>
              <w:br w:type="textWrapping"/>
            </w: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r>
              <w:rPr>
                <w:rFonts w:ascii="仿宋_GB2312" w:hAnsi="仿宋_GB2312" w:eastAsia="仿宋_GB2312" w:cs="Times New Roman"/>
              </w:rPr>
              <w:br w:type="textWrapping"/>
            </w: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r>
              <w:rPr>
                <w:rFonts w:ascii="仿宋_GB2312" w:hAnsi="仿宋_GB2312" w:eastAsia="仿宋_GB2312" w:cs="Times New Roman"/>
              </w:rPr>
              <w:br w:type="textWrapping"/>
            </w: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r>
              <w:rPr>
                <w:rFonts w:ascii="仿宋_GB2312" w:hAnsi="仿宋_GB2312" w:eastAsia="仿宋_GB2312" w:cs="Times New Roman"/>
              </w:rPr>
              <w:br w:type="textWrapping"/>
            </w:r>
            <w:r>
              <w:rPr>
                <w:rFonts w:ascii="仿宋_GB2312" w:hAnsi="仿宋_GB2312" w:eastAsia="仿宋_GB2312" w:cs="仿宋_GB2312"/>
              </w:rPr>
              <w:t>6.</w:t>
            </w:r>
            <w:r>
              <w:rPr>
                <w:rFonts w:hint="eastAsia" w:ascii="仿宋_GB2312" w:hAnsi="仿宋_GB2312" w:eastAsia="仿宋_GB2312" w:cs="仿宋_GB2312"/>
              </w:rPr>
              <w:t>在征收过程中发生腐败行为的；</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vAlign w:val="center"/>
          </w:tcPr>
          <w:p>
            <w:pPr>
              <w:textAlignment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条行政机关及其工作人员在行政征收管理过程中，有下列情形之一的，应当追究行政过错责任……（一）没有法定或者规定依据实施征收；（二）违反规定设立征收项目或者改变征收项目的范围、标准、对象和期限；（三）未按法定范围、实现实时征收”</w:t>
            </w:r>
          </w:p>
          <w:p>
            <w:pPr>
              <w:ind w:firstLine="300" w:firstLineChars="150"/>
              <w:textAlignment w:val="center"/>
              <w:rPr>
                <w:rFonts w:ascii="仿宋_GB2312" w:hAnsi="仿宋_GB2312" w:eastAsia="仿宋_GB2312" w:cs="Times New Roman"/>
              </w:rPr>
            </w:pP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日《国务院关于废止和修改部分行政法规的决定》）第四十三条违反本条例，构成犯罪的，由司法机关依法追究刑事责任；尚不构成犯罪，应当给予治安管理处罚的，依照治安管理处罚法的规定给予出发</w:t>
            </w:r>
          </w:p>
          <w:p>
            <w:pPr>
              <w:textAlignment w:val="center"/>
              <w:rPr>
                <w:rFonts w:ascii="仿宋_GB2312" w:hAnsi="仿宋_GB2312" w:eastAsia="仿宋_GB2312" w:cs="仿宋_GB2312"/>
                <w:color w:val="000000"/>
              </w:rPr>
            </w:pPr>
            <w:r>
              <w:rPr>
                <w:rFonts w:ascii="仿宋_GB2312" w:hAnsi="仿宋_GB2312" w:eastAsia="仿宋_GB2312" w:cs="仿宋_GB2312"/>
              </w:rPr>
              <w:t xml:space="preserve">     2.</w:t>
            </w:r>
            <w:r>
              <w:rPr>
                <w:rFonts w:hint="eastAsia" w:ascii="仿宋_GB2312" w:hAnsi="仿宋_GB2312" w:eastAsia="仿宋_GB2312" w:cs="仿宋_GB2312"/>
              </w:rPr>
              <w:t>同</w:t>
            </w:r>
            <w:r>
              <w:rPr>
                <w:rFonts w:ascii="仿宋_GB2312" w:hAnsi="仿宋_GB2312" w:eastAsia="仿宋_GB2312" w:cs="仿宋_GB2312"/>
              </w:rPr>
              <w:t>1.</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Times New Roman"/>
              </w:rPr>
              <w:br w:type="textWrapping"/>
            </w: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日《国务院关于废止和修改部分行政法规的决定》）第四十四条市政工程行政主管部门人员玩忽职守、滥用职权、徇私舞弊，构成犯罪的，依法追究刑事责任；尚不构成犯罪的，依法给予行政处分。</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本行政区域市政公用事业特许经营活动的指导、检查、监督</w:t>
            </w:r>
          </w:p>
        </w:tc>
        <w:tc>
          <w:tcPr>
            <w:tcW w:w="485" w:type="dxa"/>
          </w:tcPr>
          <w:p>
            <w:pPr>
              <w:adjustRightInd w:val="0"/>
              <w:snapToGrid w:val="0"/>
              <w:spacing w:line="320" w:lineRule="exact"/>
              <w:rPr>
                <w:rFonts w:ascii="仿宋_GB2312" w:hAnsi="仿宋_GB2312" w:eastAsia="仿宋_GB2312" w:cs="仿宋_GB2312"/>
                <w:snapToGrid w:val="0"/>
                <w:color w:val="000000"/>
              </w:rPr>
            </w:pPr>
          </w:p>
        </w:tc>
        <w:tc>
          <w:tcPr>
            <w:tcW w:w="329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3月29日发布，经第29次部常务会通过，建设部令第126号，建设部令第24号于2015年5月4日第一次修改）第四条第二款：省、自治区人民政府建设主管部门负责本行政区域内的市政公用事业特许经营活动的指导和监督工作。</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2.【规章】《市政公用事业特许经营管理办法》（2004年3月29日发布，经第29次部常务会通过，建设部令第126号，建设部令第24号于2015年5月4日第一次修改） 第二十七条：省、自治区人民政府建设主管部门应当加强对市、县人民政府市政公用事业主管部门实施特许经营活动的监督检查，及时纠正实施特许经营中的违法行为。</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r>
              <w:rPr>
                <w:rFonts w:hint="eastAsia" w:ascii="仿宋_GB2312" w:hAnsi="仿宋_GB2312" w:eastAsia="仿宋_GB2312" w:cs="仿宋_GB2312"/>
                <w:b/>
              </w:rPr>
              <w:t>。</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日建设部令第</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日住房和城乡建设部令第</w:t>
            </w:r>
            <w:r>
              <w:rPr>
                <w:rFonts w:ascii="仿宋_GB2312" w:hAnsi="仿宋_GB2312" w:eastAsia="仿宋_GB2312" w:cs="仿宋_GB2312"/>
              </w:rPr>
              <w:t>24</w:t>
            </w:r>
            <w:r>
              <w:rPr>
                <w:rFonts w:hint="eastAsia" w:ascii="仿宋_GB2312" w:hAnsi="仿宋_GB2312" w:eastAsia="仿宋_GB2312" w:cs="仿宋_GB2312"/>
              </w:rPr>
              <w:t>号修正）第二十七条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日第一次修改）第十条主管部门应当履行下列责任：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（二）监督获得特许经营权的企业履行法定义务和协议书规定的义务；</w:t>
            </w:r>
            <w:r>
              <w:rPr>
                <w:rFonts w:ascii="仿宋_GB2312" w:hAnsi="仿宋_GB2312" w:eastAsia="仿宋_GB2312" w:cs="仿宋_GB2312"/>
              </w:rPr>
              <w:br w:type="textWrapping"/>
            </w:r>
            <w:r>
              <w:rPr>
                <w:rFonts w:hint="eastAsia" w:ascii="仿宋_GB2312" w:hAnsi="仿宋_GB2312" w:eastAsia="仿宋_GB2312" w:cs="仿宋_GB2312"/>
              </w:rPr>
              <w:t>（三）对获得特许经营权的企业的经营计划实施情况、产品和服务的质量以及安全生产情况进行监督。</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【规章】《市政公用事业特许经营管理办法》第三十条　主管部门及其工作人员有下列情形之一的，由对其授权的直辖市、市、县人民政府或者监察机关责令改正，对负主要责任的主管人员和其他直接责任人员依法给予行政处分；构成犯罪的，依法追究刑事责任：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（一）不依法履行监督职责或者监督不力，造成严重后果的；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（二）对不符合法定条件的竞标者授予特许经营权的；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（三）滥用职权、徇私舞弊的。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燃气质量的监督检查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 xml:space="preserve">) </w:t>
            </w:r>
            <w:r>
              <w:rPr>
                <w:rFonts w:hint="eastAsia" w:ascii="仿宋_GB2312" w:hAnsi="仿宋_GB2312" w:eastAsia="仿宋_GB2312" w:cs="仿宋_GB2312"/>
              </w:rPr>
              <w:t>第二十二条第二款“县级以上地方人民政府质量监督、工商行政管理、燃气管理等部门应当按照职责分工，依法加强对燃气质量的监督检查。”</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对燃气质量检查中发现的违法违规行为提出整改意见，责令当事人限期改正违法违规行为。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强化对燃气经营单位售气质量的监管。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第二十二条</w:t>
            </w:r>
            <w:r>
              <w:rPr>
                <w:rFonts w:ascii="宋体" w:cs="宋体"/>
              </w:rPr>
              <w:t> </w:t>
            </w:r>
            <w:r>
              <w:rPr>
                <w:rFonts w:hint="eastAsia" w:ascii="仿宋_GB2312" w:hAnsi="仿宋_GB2312" w:eastAsia="仿宋_GB2312" w:cs="仿宋_GB2312"/>
              </w:rPr>
              <w:t>燃气经营者应当建立健全燃气质量检测制度，确保所供应的燃气质量符合国家标准。县级以上地方人民政府质量监督、工商行政管理、燃气管理等部门应当按照职责分工，依法加强对燃气质量的监督检查。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第（七）款燃气经营者未向燃气用户持续、稳定、安全供应符合国家质量标准的燃气，或者未对燃气用户的燃气设施定期进行安全检查。</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号对该条例进行了第一次修改）第二十二条第二款：县级以上地方人民政府质量监督、工商行政管理、燃气管理等部门应当按照职责分工，依法加强对燃气质量的监督检查。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p>
          <w:p>
            <w:pPr>
              <w:adjustRightInd w:val="0"/>
              <w:snapToGrid w:val="0"/>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0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对燃气经营、燃气使用安全状况的监督检查</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320" w:lineRule="exact"/>
              <w:rPr>
                <w:rFonts w:ascii="仿宋_GB2312" w:hAnsi="仿宋_GB2312" w:eastAsia="仿宋_GB2312" w:cs="仿宋_GB2312"/>
                <w:snapToGrid w:val="0"/>
                <w:color w:val="000000"/>
              </w:rPr>
            </w:pPr>
          </w:p>
        </w:tc>
        <w:tc>
          <w:tcPr>
            <w:tcW w:w="2970" w:type="dxa"/>
          </w:tcPr>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对燃气经营和使用中的违法违规行为提出整改意见，责令当事人限期改正违法违规行为。</w:t>
            </w:r>
          </w:p>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强化对燃气经营和使用单位是否满足安全标准的监管。。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spacing w:line="24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七）燃气经营者未向燃气用户持续、稳定、安全供应符合国家质量标准的燃气，或者未对燃气用户的燃气设施定期进行安全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第二款：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第三十三条建设、质量技术监督、安全生产监督管理等有关主管部门依法对燃气经营企业进行燃气安全监督检查时，对于不符合保障安全生产的国家标准或者行业标准的设施、设备，可以依照</w:t>
            </w:r>
            <w:r>
              <w:fldChar w:fldCharType="begin"/>
            </w:r>
            <w:r>
              <w:instrText xml:space="preserve"> HYPERLINK "http://www.110.com/fagui/" </w:instrText>
            </w:r>
            <w:r>
              <w:fldChar w:fldCharType="separate"/>
            </w:r>
            <w:r>
              <w:rPr>
                <w:rFonts w:hint="eastAsia" w:ascii="仿宋_GB2312" w:hAnsi="仿宋_GB2312" w:eastAsia="仿宋_GB2312" w:cs="仿宋_GB2312"/>
              </w:rPr>
              <w:t>法律</w:t>
            </w:r>
            <w:r>
              <w:rPr>
                <w:rFonts w:hint="eastAsia" w:ascii="仿宋_GB2312" w:hAnsi="仿宋_GB2312" w:eastAsia="仿宋_GB2312" w:cs="仿宋_GB2312"/>
              </w:rPr>
              <w:fldChar w:fldCharType="end"/>
            </w:r>
            <w:r>
              <w:rPr>
                <w:rFonts w:hint="eastAsia" w:ascii="仿宋_GB2312" w:hAnsi="仿宋_GB2312" w:eastAsia="仿宋_GB2312" w:cs="仿宋_GB2312"/>
              </w:rPr>
              <w:t>、行政</w:t>
            </w:r>
            <w:r>
              <w:fldChar w:fldCharType="begin"/>
            </w:r>
            <w:r>
              <w:instrText xml:space="preserve"> HYPERLINK "http://www.110.com/fagui/" </w:instrText>
            </w:r>
            <w:r>
              <w:fldChar w:fldCharType="separate"/>
            </w:r>
            <w:r>
              <w:rPr>
                <w:rFonts w:hint="eastAsia" w:ascii="仿宋_GB2312" w:hAnsi="仿宋_GB2312" w:eastAsia="仿宋_GB2312" w:cs="仿宋_GB2312"/>
              </w:rPr>
              <w:t>法规</w:t>
            </w:r>
            <w:r>
              <w:rPr>
                <w:rFonts w:hint="eastAsia" w:ascii="仿宋_GB2312" w:hAnsi="仿宋_GB2312" w:eastAsia="仿宋_GB2312" w:cs="仿宋_GB2312"/>
              </w:rPr>
              <w:fldChar w:fldCharType="end"/>
            </w:r>
            <w:r>
              <w:rPr>
                <w:rFonts w:hint="eastAsia" w:ascii="仿宋_GB2312" w:hAnsi="仿宋_GB2312" w:eastAsia="仿宋_GB2312" w:cs="仿宋_GB2312"/>
              </w:rPr>
              <w:t>和本条例的规定予以扣押或者查封，并在</w:t>
            </w:r>
            <w:r>
              <w:rPr>
                <w:rFonts w:ascii="仿宋_GB2312" w:hAnsi="仿宋_GB2312" w:eastAsia="仿宋_GB2312" w:cs="仿宋_GB2312"/>
              </w:rPr>
              <w:t>15</w:t>
            </w:r>
            <w:r>
              <w:rPr>
                <w:rFonts w:hint="eastAsia" w:ascii="仿宋_GB2312" w:hAnsi="仿宋_GB2312" w:eastAsia="仿宋_GB2312" w:cs="仿宋_GB2312"/>
              </w:rPr>
              <w:t>日内依法作出处理决定。</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r>
              <w:rPr>
                <w:rFonts w:ascii="仿宋_GB2312" w:hAnsi="仿宋_GB2312" w:eastAsia="仿宋_GB2312" w:cs="仿宋_GB2312"/>
              </w:rPr>
              <w:br w:type="textWrapping"/>
            </w:r>
            <w:r>
              <w:rPr>
                <w:rFonts w:hint="eastAsia" w:ascii="仿宋_GB2312" w:hAnsi="仿宋_GB2312" w:eastAsia="仿宋_GB2312" w:cs="仿宋_GB2312"/>
              </w:rPr>
              <w:t>　　对检查中发现的重大事故隐患，有关部门应当责令相关单位或者个人立即排除。在隐患排除前或者排除过程中无法保证安全的，应当责令从危险区内撤出相关人员，并责令暂时停止使用该设施隐患排除后，方可恢复生产经营和使用。</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对房地产估价机构监督检查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县级以上人民政府房地产主管部门应当将监督检查的处理结果向社会公布。</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对对房地产估价机构的违法违规行为提出整改意见，责令当事人限期改正违法违规行为。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强化对房地产估价机构行为的监管。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spacing w:line="240" w:lineRule="exact"/>
              <w:rPr>
                <w:rFonts w:ascii="仿宋_GB2312" w:hAnsi="仿宋_GB2312" w:eastAsia="仿宋_GB2312" w:cs="仿宋_GB2312"/>
              </w:rPr>
            </w:pPr>
            <w:r>
              <w:rPr>
                <w:rFonts w:hint="eastAsia" w:ascii="仿宋_GB2312" w:hAnsi="仿宋_GB2312" w:eastAsia="仿宋_GB2312" w:cs="仿宋_GB2312"/>
              </w:rPr>
              <w:t>2.【规章】《房地产估价机构管理办法》（于2005年10月12日以建设部令第142号发布，根据2013年10月16日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县级以上人民政府房地产主管部门应当将监督检查的处理结果向社会公布。</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对注册房地产估价师执业情况监督检查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【规章】《注册房地产估价师管理办法》（</w:t>
            </w:r>
            <w:r>
              <w:rPr>
                <w:rFonts w:hint="eastAsia" w:ascii="Arial" w:hAnsi="Arial"/>
                <w:color w:val="333333"/>
                <w:sz w:val="18"/>
                <w:szCs w:val="18"/>
                <w:shd w:val="clear" w:color="auto" w:fill="FFFFFF"/>
              </w:rPr>
              <w:t>2007年3月1日</w:t>
            </w:r>
            <w:r>
              <w:rPr>
                <w:rFonts w:hint="eastAsia" w:ascii="仿宋_GB2312" w:hAnsi="仿宋_GB2312" w:eastAsia="仿宋_GB2312" w:cs="仿宋_GB2312"/>
              </w:rPr>
              <w:t>建设部令第151号）第二十七条 县级以上人民政府建设（房地产）主管部门，应当依照有关法律、法规和本办法的规定，对注册房地产估价师的注册、执业和继续教育情况实施监督检查。</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对注册房地产估价师的注册执业情况的违法违规行为提出整改意见，责令当事人限期改正违法违规行为。</w:t>
            </w:r>
          </w:p>
          <w:p>
            <w:pPr>
              <w:spacing w:line="24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强化对注册房地产估价师的注册执业的监管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1.【规章】《注册房地产估价师管理办法》（2007年3月1日建设部令第151号）第二十七条 县级以上人民政府建设（房地产）主管部门，应当依照有关法律、法规和本办法的规定，对注册房地产估价师的注册、执业和继续教育情况实施监督检查。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第二十九条 县级以上人民政府建设（房地产）主管部门履行监督检查职责时，有权采取下列措施：</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（一）要求被检查人员出示注册证书；</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（二）要求被检查人员所在聘用单位提供有关人员签署的估价报告及相关业务文档；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（三）就有关问题询问签署估价报告的人员；</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（四）纠正违反有关法律、法规和本本法及房地产估价规范和标准的行为。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对房地产经纪机构和房地产经纪人员进行监督</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【规章】《房地产经纪管理办法》（2010年10月27日住房和城乡建设部第65次部常务会议审议通过，并经国家发展和改革委员会、人力资源和社会保障部同意，现予发布，自2011年4月1日起施行。）第二十八条　建设（房地产）主管部门、价格主管部门应当通过现场巡查、合同抽查、投诉受理等方式，采取约谈、记入信用档案、媒体曝光等措施，对房地产经纪机构和房地产经纪人员进行监督。</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对房地产经纪机构和房地产经纪人员的违法违规行为提出整改意见，责令当事人限期改正违法违规行为。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强化对房地产经纪机构和房地产经纪人员的监管。</w:t>
            </w:r>
          </w:p>
          <w:p>
            <w:pP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1.【规章】《房地产经纪管理办法》（2010年10月27日住房和城乡建设部第65次部常务会议审议通过，并经国家发展和改革委员会、人力资源和社会保障部同意，现予发布，自2011年4月1日起施行。）第五条　县级以上人民政府建设（房地产）主管部门、价格主管部门、人力资源和社会保障主管部门应当按照职责分工，分别负责房地产经纪活动的监督和管理。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4.同3.</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5.同3.</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9</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物业专项检查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2.【规章】《住宅专项维修资金管理办法》（中华人民共和国建设部 中华人民共和国财政部 令 第165号 《住宅专项维修资金管理办法》已经2007年10月30日建设部第142次常务会议讨论通过，经财政部联合签署，现予发布，自2008年2月1日起施行）第五条第二款 县级以上地方人民政府建设（房地产）主管部门会同同级财政部门负责本行政区域内住宅专项维修资金的指导和监督工作。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r>
              <w:rPr>
                <w:rFonts w:hint="eastAsia" w:ascii="仿宋_GB2312" w:hAnsi="仿宋_GB2312" w:eastAsia="仿宋_GB2312" w:cs="仿宋_GB2312"/>
              </w:rPr>
              <w:br w:type="textWrapping"/>
            </w:r>
            <w:r>
              <w:rPr>
                <w:rFonts w:hint="eastAsia" w:ascii="仿宋_GB2312" w:hAnsi="仿宋_GB2312" w:eastAsia="仿宋_GB2312" w:cs="仿宋_GB2312"/>
                <w:b/>
                <w:bCs/>
              </w:rPr>
              <w:t>2.检查责任：</w:t>
            </w:r>
            <w:r>
              <w:rPr>
                <w:rFonts w:hint="eastAsia" w:ascii="仿宋_GB2312" w:hAnsi="仿宋_GB2312" w:eastAsia="仿宋_GB2312" w:cs="仿宋_GB2312"/>
              </w:rPr>
              <w:t>依法对物业服务企业进行材料核验、现场检查等。依法对各市住宅专项维修资金的归集、使用和监督管理情况进行检查。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3.督促整改责任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5.监管责任</w:t>
            </w:r>
            <w:r>
              <w:rPr>
                <w:rFonts w:hint="eastAsia" w:ascii="仿宋_GB2312" w:hAnsi="仿宋_GB2312" w:eastAsia="仿宋_GB2312" w:cs="仿宋_GB2312"/>
              </w:rPr>
              <w:t>：强化对物业企业资质管理和市场监管。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1.【法规】《物业管理条例》（国务院令第504号，2007年8月26日发布，2007年10月1日实施）第五条第二款：县级以上地方人民政府房地产行政主管部门负责本行政区域内物业管理活动的监督管理工作。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仿宋_GB2312" w:hAnsi="仿宋_GB2312" w:eastAsia="仿宋_GB2312" w:cs="仿宋_GB2312"/>
              </w:rPr>
              <w:br w:type="textWrapping"/>
            </w:r>
            <w:r>
              <w:rPr>
                <w:rFonts w:hint="eastAsia" w:ascii="仿宋_GB2312" w:hAnsi="仿宋_GB2312" w:eastAsia="仿宋_GB2312" w:cs="仿宋_GB2312"/>
              </w:rPr>
              <w:t>【规章】《住宅专项维修资金管理办法》（2007年建设部、财政部第165号发布）第五条第二款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rPr>
              <w:br w:type="textWrapping"/>
            </w:r>
            <w:r>
              <w:rPr>
                <w:rFonts w:hint="eastAsia" w:ascii="仿宋_GB2312" w:hAnsi="仿宋_GB2312" w:eastAsia="仿宋_GB2312" w:cs="仿宋_GB2312"/>
              </w:rPr>
              <w:t>3.【法规】《广西壮族自治区物业管理条例》（广西壮族自治区第十一届人民代表大会常务委员会第三十一次会议于2012年11月30日修订通过，自2013年1月1日起施行）</w:t>
            </w:r>
            <w:r>
              <w:rPr>
                <w:rFonts w:hint="eastAsia" w:ascii="仿宋_GB2312" w:hAnsi="仿宋_GB2312" w:eastAsia="仿宋_GB2312" w:cs="仿宋_GB2312"/>
              </w:rPr>
              <w:br w:type="textWrapping"/>
            </w:r>
            <w:r>
              <w:rPr>
                <w:rFonts w:hint="eastAsia" w:ascii="仿宋_GB2312" w:hAnsi="仿宋_GB2312" w:eastAsia="仿宋_GB2312" w:cs="仿宋_GB2312"/>
              </w:rPr>
              <w:t>第五十六条建设单位违反本条例第十条第一款规定，不按照规定时间向房产行政主管部门提交物业交付使用书面报告和有关资料的，由县级以上人民政府房产行政主管部门责令限期改正，逾期不改正的，处一万元以上三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七条物业服务企业违反本条例第二十八条第三款规定，未办理退出交接手续擅自撤离物业管理区域、停止物业服务的，由县级以上人民政府房产行政主管部门责令限期改正，逾期不改正的，处五万元以上十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八条物业服务企业违反本条例第三十条第二项、第三项、第四项、第六项、第七项规定之一的，由县级以上人民政府房产行政主管部门或者价格主管部门按照权限处一万元以上五万元以下罚款；有收益的，所得收益用于物业共用部位、共用设施设备的维修和养护，剩余部分按照业主大会的决定使用。</w:t>
            </w:r>
            <w:r>
              <w:rPr>
                <w:rFonts w:hint="eastAsia" w:ascii="仿宋_GB2312" w:hAnsi="仿宋_GB2312" w:eastAsia="仿宋_GB2312" w:cs="仿宋_GB2312"/>
              </w:rPr>
              <w:br w:type="textWrapping"/>
            </w:r>
            <w:r>
              <w:rPr>
                <w:rFonts w:hint="eastAsia" w:ascii="仿宋_GB2312" w:hAnsi="仿宋_GB2312" w:eastAsia="仿宋_GB2312" w:cs="仿宋_GB2312"/>
              </w:rPr>
              <w:t>第五十九条建设单位违反本条例第三十三条规定，不申请划分物业管理区域或者不按照规定向买受人明示物业管理区域的，由县级以上人民政府房产行政主管部门责令限期改正，逾期不改正的，处五千元以上一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4.同3。</w:t>
            </w:r>
            <w:r>
              <w:rPr>
                <w:rFonts w:hint="eastAsia" w:ascii="仿宋_GB2312" w:hAnsi="仿宋_GB2312" w:eastAsia="仿宋_GB2312" w:cs="仿宋_GB2312"/>
              </w:rPr>
              <w:br w:type="textWrapping"/>
            </w:r>
            <w:r>
              <w:rPr>
                <w:rFonts w:hint="eastAsia" w:ascii="仿宋_GB2312" w:hAnsi="仿宋_GB2312" w:eastAsia="仿宋_GB2312" w:cs="仿宋_GB2312"/>
              </w:rPr>
              <w:t>5.【规章】《物业管理企业资质管理办法》（建设部令第125号）第四条第二款 省、自治区人民政府建设主管部门负责二级物业服务企业资质证书的颁发和管理。</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4-1.【规章】《物业管理条例》（国务院令第504号，2007年8月26日发布，2007年10月1日实施）第六十七条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4-2.【规章】《物业服务企业资质管理办法》（于2004年3月17日由时任中华人民共和国建设部（以下简称“建设部”）部长 汪光焘以建设部令第125号文件形式公布，根据2007年11月26日建设部令第164号《建设部关于修改&lt;物业管理企业资质管理办法&gt;的决定》修正，2015年05月04日住房和城乡建设部令第24号修正，共23条，自2004年5月1日起施行。）第二十二条资质审批部门有下列情形之一的，由其上级主管部门或者监察机关责令改正，对直接负责的主管人员和其他直接责任人员依法给予行政处分；构成犯罪的，依法追究刑事责任：（一）对不符合法定条件的企业颁发资质证书的；（二）对符合法定条件的企业不予颁发资质证书的；（三）对符合法定条件的企业未在法定期限内予以审批的；（四）利用职务上的便利，收受他人财物或者其他好处的；（五）不履行监督管理职责，或者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10</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房地产市场专项检查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2.【规章】《房地产开发企业资质管理规定》（建设部令第77号）第四条第二款：县级以上地方人民政府房地产开发主管部门负责本行政区域内房地产开发企业的资质管理工作。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1.检查责任：</w:t>
            </w:r>
            <w:r>
              <w:rPr>
                <w:rFonts w:hint="eastAsia" w:ascii="仿宋_GB2312" w:hAnsi="仿宋_GB2312" w:eastAsia="仿宋_GB2312" w:cs="仿宋_GB2312"/>
              </w:rPr>
              <w:t>依法对房地产开发经营活动进行检查。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2.督促整改责任：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3.处理责任：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：强化对房地产开发企业的资质管理、监督检查和房地产市场监管。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1.【法规】《城市房地产开发经营管理条例》（1998年国务院令第248号颁布）第四条第二款：县级以上地方人民政府房地产开发主管部门负责本行政区域内房地产开发经营活动的监督管理工作。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2.【法规】《城市房地产开发经营管理条例》（1998年国务院令第248号颁布）第第三十五条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_GB2312" w:hAnsi="仿宋_GB2312" w:eastAsia="仿宋_GB2312" w:cs="仿宋_GB2312"/>
              </w:rPr>
              <w:br w:type="textWrapping"/>
            </w:r>
            <w:r>
              <w:rPr>
                <w:rFonts w:hint="eastAsia" w:ascii="仿宋_GB2312" w:hAnsi="仿宋_GB2312" w:eastAsia="仿宋_GB2312" w:cs="仿宋_GB2312"/>
              </w:rPr>
              <w:t>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r>
              <w:rPr>
                <w:rFonts w:hint="eastAsia" w:ascii="仿宋_GB2312" w:hAnsi="仿宋_GB2312" w:eastAsia="仿宋_GB2312" w:cs="仿宋_GB2312"/>
              </w:rPr>
              <w:br w:type="textWrapping"/>
            </w:r>
            <w:r>
              <w:rPr>
                <w:rFonts w:hint="eastAsia" w:ascii="仿宋_GB2312" w:hAnsi="仿宋_GB2312" w:eastAsia="仿宋_GB2312" w:cs="仿宋_GB2312"/>
              </w:rPr>
              <w:t>第三十七条　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第三十九条　违反本条例规定，擅自预售商品房的，由县级以上人民政府房地产开发主管部门责令停止违法行为，没收违法所得，可以并处已收取的预付款1%以下的罚款。</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4.【规章】《房地产开发企业资质管理规定》（建设部令第77号）第四条第二款：县级以上地方人民政府房地产开发主管部门负责本行政区域内房地产开发企业的资质管理工作。</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spacing w:line="280" w:lineRule="exac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4-1.【规章】《城市房地产开发经营管理条例》（经1998年7月20日中华人民共和国国务院（以下简称“国务院”）常务会议通过、由时任 总理 朱镕基以国务院令第248号文件形式发布、施行，根据2011年1月8日国务院第138次常务会议通过《国务院关于废止和修改部分行政法规的决定》、由温家宝 签署发布施行的国务院令第588号文件修订）第四十条　国家机关工作人员在房地产开发经营监督管理工作中玩忽职守、徇私舞弊、滥用职权，构成犯罪的，依法追究刑事责任；尚不构成犯罪的，依法给予行政处分。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房地产开发企业资质管理规定》（于2000年3月29日以建设部令第77号发布，根据2015年5月4日住房和城乡建设部令第24号《住房和城乡建设部关于修改〈房地产开发企业资质管理规定〉等部门规章的决定》修正。该《规定》共28条，由国务院建设行政主管部门负责解释，自发布之日起施行）第二十五条　各级建设行政主管部门工作人员在资质审批和管理中玩忽职守、滥用职权，徇私舞弊的，由其所在单位或者上级主管部门给予行政处分；构成犯罪的，由司法机关依法追究刑事责任。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对排水户排放污水情况的监督检查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300" w:lineRule="exact"/>
              <w:rPr>
                <w:rFonts w:ascii="仿宋_GB2312" w:hAnsi="仿宋_GB2312" w:eastAsia="仿宋_GB2312" w:cs="仿宋_GB2312"/>
                <w:snapToGrid w:val="0"/>
                <w:color w:val="000000"/>
              </w:rPr>
            </w:pP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 xml:space="preserve">1. </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b/>
                <w:bCs/>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b/>
                <w:bCs/>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对排水户排放污水中的违法违规行为提出整改意见，责令当事人限期改正违法违规行为。</w:t>
            </w:r>
          </w:p>
          <w:p>
            <w:pPr>
              <w:spacing w:line="240" w:lineRule="exact"/>
              <w:rPr>
                <w:rFonts w:ascii="仿宋_GB2312" w:hAnsi="仿宋_GB2312" w:eastAsia="仿宋_GB2312" w:cs="Times New Roman"/>
                <w:b/>
                <w:bCs/>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强化对排水户排放污水是否满足国家和地方标准的监管。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w:t>
            </w:r>
            <w:r>
              <w:rPr>
                <w:rFonts w:hint="eastAsia" w:ascii="仿宋_GB2312" w:hAnsi="仿宋_GB2312" w:eastAsia="仿宋_GB2312" w:cs="仿宋_GB2312"/>
              </w:rPr>
              <w:t>其他法律法规规章文件规定应履行的责任。</w:t>
            </w:r>
          </w:p>
        </w:tc>
        <w:tc>
          <w:tcPr>
            <w:tcW w:w="4950"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日主席令第六十三号公布，</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主席令第十八号第一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号）第二十三条：城镇排水主管部门应当加强对排放口设置以及预处理设施和水质、水量检测设施建设的指导和监督；对不符合规划要求或者国家有关规定的，应当要求排水户采取措施，限期整改。</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、【法律】《中华人民共和国水污染防治法》（</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发布，主席令第八十七号）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jc w:val="both"/>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jc w:val="both"/>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jc w:val="both"/>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4"/>
        <w:gridCol w:w="705"/>
        <w:gridCol w:w="485"/>
        <w:gridCol w:w="3293"/>
        <w:gridCol w:w="2969"/>
        <w:gridCol w:w="4948"/>
        <w:gridCol w:w="1514"/>
        <w:gridCol w:w="4856"/>
        <w:gridCol w:w="984"/>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4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9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12</w:t>
            </w:r>
          </w:p>
        </w:tc>
        <w:tc>
          <w:tcPr>
            <w:tcW w:w="734"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注册造价工程师、执业和继续教育实施情况监督检查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3"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tc>
        <w:tc>
          <w:tcPr>
            <w:tcW w:w="2969"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作出予以行政警告、通报批评、记入诚信档案等相应的处理并向社会公布检查处理结果。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强化注册造价工程师、执业和继续教育实施情况的监管；</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snapToGrid w:val="0"/>
                <w:color w:val="000000"/>
              </w:rPr>
              <w:t>5.其他责任</w:t>
            </w:r>
            <w:r>
              <w:rPr>
                <w:rFonts w:hint="eastAsia" w:ascii="仿宋_GB2312" w:hAnsi="仿宋_GB2312" w:eastAsia="仿宋_GB2312" w:cs="仿宋_GB2312"/>
                <w:snapToGrid w:val="0"/>
                <w:color w:val="000000"/>
              </w:rPr>
              <w:t>：</w:t>
            </w:r>
            <w:r>
              <w:rPr>
                <w:rFonts w:hint="eastAsia" w:ascii="仿宋_GB2312" w:hAnsi="仿宋_GB2312" w:eastAsia="仿宋_GB2312" w:cs="仿宋_GB2312"/>
              </w:rPr>
              <w:t>其他法律法规规章文件规定应履行的责任。</w:t>
            </w:r>
          </w:p>
        </w:tc>
        <w:tc>
          <w:tcPr>
            <w:tcW w:w="4948"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1.【规章】《注册造价工程师管理办法》（2006年12月25日建设部令第150号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4.【规章】《注册造价工程师管理办法》（2006年12月25日建设部建设部令第150号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4"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6"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4.【规章】《注册造价工程师管理办法》（建设部令第150号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，2016年住建部32号令进行修改，2016年10月20日施行）第三十八条　县级以上人民政府建设主管部门和其他有关部门工作人员，在注册造价工程师管理工作中，有下列情形之一的，依法给予处分；构成犯罪的，依法追究刑事责任：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　　（一）对不符合注册条件的申请人准予注册许可或者超越法定职权作出注册许可决定的；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（二）对符合注册条件的申请人不予注册许可或者不在法定期限内作出注册许可决定的；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（三）对符合法定条件的申请不予受理或者未在法定期限内初审完毕的；</w:t>
            </w:r>
            <w:r>
              <w:rPr>
                <w:rFonts w:hint="eastAsia" w:ascii="仿宋_GB2312" w:hAnsi="仿宋_GB2312" w:eastAsia="仿宋_GB2312" w:cs="仿宋_GB2312"/>
              </w:rPr>
              <w:br w:type="textWrapping"/>
            </w:r>
            <w:r>
              <w:rPr>
                <w:rFonts w:hint="eastAsia" w:ascii="仿宋_GB2312" w:hAnsi="仿宋_GB2312" w:eastAsia="仿宋_GB2312" w:cs="仿宋_GB2312"/>
              </w:rPr>
              <w:t>　　（四） 利用职务之便，收取他人财物或者其他好处的；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（五） 不依法履行监督管理职责，或者发现违法行为不予查处的。     </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399"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13</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工程造价咨询企业从事工程造价咨询业务活动的监督检查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【规章】《工程造价咨询企业管理办法》（建设部令第149号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作出予以停工整改、限期整改、通报批评、记入诚信档案等相应的处理并向社会公布检查处理结果。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强化工程造价咨询企业从事工程造价咨询业务活动的监管；</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p>
            <w:pPr>
              <w:adjustRightInd w:val="0"/>
              <w:snapToGrid w:val="0"/>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 【规章】《工程造价咨询企业管理办法》（2006年3月22日建设部令第149号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 1.【规章】广西壮族自治区行政过错责任追究办法（2007年4月17日广西壮族自治区人民政府第63次常务会议审议通过　2007年4月25日广西壮族自治区人民政府令第24号公布　自2007年6月1日起施行）第十一条：</w:t>
            </w:r>
            <w:r>
              <w:rPr>
                <w:rFonts w:ascii="仿宋_GB2312" w:hAnsi="仿宋_GB2312" w:eastAsia="仿宋_GB2312" w:cs="仿宋_GB2312"/>
              </w:rPr>
              <w:t>第十一条 行政机关及其工作人员在实施行政监督检查过程中，有下列情形之一的，应当追究行政过错责任：</w:t>
            </w:r>
          </w:p>
          <w:p>
            <w:pPr>
              <w:textAlignment w:val="center"/>
              <w:rPr>
                <w:rFonts w:ascii="仿宋_GB2312" w:hAnsi="仿宋_GB2312" w:eastAsia="仿宋_GB2312" w:cs="仿宋_GB2312"/>
              </w:rPr>
            </w:pPr>
            <w:r>
              <w:rPr>
                <w:rFonts w:ascii="仿宋_GB2312" w:hAnsi="仿宋_GB2312" w:eastAsia="仿宋_GB2312" w:cs="仿宋_GB2312"/>
              </w:rPr>
              <w:t>（一）没有法定或者规定依据实施检查；</w:t>
            </w:r>
          </w:p>
          <w:p>
            <w:pPr>
              <w:textAlignment w:val="center"/>
              <w:rPr>
                <w:rFonts w:ascii="仿宋_GB2312" w:hAnsi="仿宋_GB2312" w:eastAsia="仿宋_GB2312" w:cs="仿宋_GB2312"/>
              </w:rPr>
            </w:pPr>
            <w:r>
              <w:rPr>
                <w:rFonts w:ascii="仿宋_GB2312" w:hAnsi="仿宋_GB2312" w:eastAsia="仿宋_GB2312" w:cs="仿宋_GB2312"/>
              </w:rPr>
              <w:t>（二）没有具体理由、事项、内容、对象实施检查；</w:t>
            </w:r>
          </w:p>
          <w:p>
            <w:pPr>
              <w:textAlignment w:val="center"/>
              <w:rPr>
                <w:rFonts w:ascii="仿宋_GB2312" w:hAnsi="仿宋_GB2312" w:eastAsia="仿宋_GB2312" w:cs="仿宋_GB2312"/>
              </w:rPr>
            </w:pPr>
            <w:r>
              <w:rPr>
                <w:rFonts w:ascii="仿宋_GB2312" w:hAnsi="仿宋_GB2312" w:eastAsia="仿宋_GB2312" w:cs="仿宋_GB2312"/>
              </w:rPr>
              <w:t>（三）放弃、推诿、拖延、拒绝履行检查职责；</w:t>
            </w:r>
          </w:p>
          <w:p>
            <w:pPr>
              <w:textAlignment w:val="center"/>
              <w:rPr>
                <w:rFonts w:ascii="仿宋_GB2312" w:hAnsi="仿宋_GB2312" w:eastAsia="仿宋_GB2312" w:cs="仿宋_GB2312"/>
              </w:rPr>
            </w:pPr>
            <w:r>
              <w:rPr>
                <w:rFonts w:ascii="仿宋_GB2312" w:hAnsi="仿宋_GB2312" w:eastAsia="仿宋_GB2312" w:cs="仿宋_GB2312"/>
              </w:rPr>
              <w:t>（四）发现违法行为不依法制止、纠正；</w:t>
            </w:r>
          </w:p>
          <w:p>
            <w:pPr>
              <w:textAlignment w:val="center"/>
              <w:rPr>
                <w:rFonts w:ascii="仿宋_GB2312" w:hAnsi="仿宋_GB2312" w:eastAsia="仿宋_GB2312" w:cs="仿宋_GB2312"/>
              </w:rPr>
            </w:pPr>
            <w:r>
              <w:rPr>
                <w:rFonts w:ascii="仿宋_GB2312" w:hAnsi="仿宋_GB2312" w:eastAsia="仿宋_GB2312" w:cs="仿宋_GB2312"/>
              </w:rPr>
              <w:t>（五）侵犯被检查对象合法权益；</w:t>
            </w:r>
          </w:p>
          <w:p>
            <w:pPr>
              <w:textAlignment w:val="center"/>
              <w:rPr>
                <w:rFonts w:ascii="仿宋_GB2312" w:hAnsi="仿宋_GB2312" w:eastAsia="仿宋_GB2312" w:cs="仿宋_GB2312"/>
              </w:rPr>
            </w:pPr>
            <w:r>
              <w:rPr>
                <w:rFonts w:ascii="仿宋_GB2312" w:hAnsi="仿宋_GB2312" w:eastAsia="仿宋_GB2312" w:cs="仿宋_GB2312"/>
              </w:rPr>
              <w:t>（六）其他违反行政监督检查规定的情形。</w:t>
            </w:r>
          </w:p>
          <w:p>
            <w:pPr>
              <w:textAlignment w:val="center"/>
              <w:rPr>
                <w:rFonts w:ascii="仿宋_GB2312" w:hAnsi="仿宋_GB2312" w:eastAsia="仿宋_GB2312" w:cs="仿宋_GB2312"/>
              </w:rPr>
            </w:pPr>
            <w:r>
              <w:rPr>
                <w:rFonts w:hint="eastAsia" w:ascii="仿宋_GB2312" w:hAnsi="仿宋_GB2312" w:eastAsia="仿宋_GB2312" w:cs="仿宋_GB2312"/>
              </w:rPr>
              <w:t>2.同1</w:t>
            </w:r>
          </w:p>
          <w:p>
            <w:pPr>
              <w:textAlignment w:val="center"/>
              <w:rPr>
                <w:rFonts w:ascii="仿宋_GB2312" w:hAnsi="仿宋_GB2312" w:eastAsia="仿宋_GB2312" w:cs="仿宋_GB2312"/>
              </w:rPr>
            </w:pPr>
            <w:r>
              <w:rPr>
                <w:rFonts w:hint="eastAsia" w:ascii="仿宋_GB2312" w:hAnsi="仿宋_GB2312" w:eastAsia="仿宋_GB2312" w:cs="仿宋_GB2312"/>
              </w:rPr>
              <w:t>3.同1.</w:t>
            </w:r>
          </w:p>
          <w:p>
            <w:pPr>
              <w:textAlignment w:val="center"/>
              <w:rPr>
                <w:rFonts w:ascii="仿宋_GB2312" w:hAnsi="仿宋_GB2312" w:eastAsia="仿宋_GB2312" w:cs="仿宋_GB2312"/>
              </w:rPr>
            </w:pPr>
            <w:r>
              <w:rPr>
                <w:rFonts w:hint="eastAsia" w:ascii="仿宋_GB2312" w:hAnsi="仿宋_GB2312" w:eastAsia="仿宋_GB2312" w:cs="仿宋_GB2312"/>
              </w:rPr>
              <w:t>4.同1</w:t>
            </w:r>
          </w:p>
          <w:p>
            <w:pPr>
              <w:textAlignment w:val="center"/>
              <w:rPr>
                <w:rFonts w:ascii="仿宋_GB2312" w:hAnsi="仿宋_GB2312" w:eastAsia="仿宋_GB2312" w:cs="仿宋_GB2312"/>
              </w:rPr>
            </w:pPr>
            <w:r>
              <w:rPr>
                <w:rFonts w:hint="eastAsia" w:ascii="仿宋_GB2312" w:hAnsi="仿宋_GB2312" w:eastAsia="仿宋_GB2312" w:cs="仿宋_GB2312"/>
              </w:rPr>
              <w:t>5.同1</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14</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建设工程安全生产情况及动态监督检查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1.【法律】《中华人民共和国行政许可法》（</w:t>
            </w:r>
            <w:r>
              <w:rPr>
                <w:rFonts w:hint="eastAsia" w:ascii="仿宋_GB2312" w:hAnsi="仿宋_GB2312" w:eastAsia="仿宋_GB2312" w:cs="仿宋_GB2312"/>
                <w:color w:val="333333"/>
                <w:shd w:val="clear" w:color="auto" w:fill="FFFFFF"/>
              </w:rPr>
              <w:t>2003年8月27日</w:t>
            </w:r>
            <w:r>
              <w:rPr>
                <w:rFonts w:hint="eastAsia" w:ascii="仿宋_GB2312" w:hAnsi="仿宋_GB2312" w:eastAsia="仿宋_GB2312" w:cs="仿宋_GB2312"/>
              </w:rPr>
              <w:t>主席令第七号）第六十二条：行政机关可以对被许可人生产经营的产品依法进行抽样检查、检验、检测，对其生产经营场所依法进行实地检查。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规章】《安全生产许可证条例》（2004年1月13日国务院令第397号，2014年7月29日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rPr>
                <w:rFonts w:ascii="仿宋_GB2312" w:hAnsi="仿宋_GB2312" w:eastAsia="仿宋_GB2312" w:cs="仿宋_GB2312"/>
                <w:snapToGrid w:val="0"/>
                <w:color w:val="000000"/>
              </w:rPr>
            </w:pPr>
            <w:r>
              <w:rPr>
                <w:rFonts w:hint="eastAsia" w:ascii="仿宋_GB2312" w:hAnsi="仿宋_GB2312" w:eastAsia="仿宋_GB2312" w:cs="仿宋_GB2312"/>
              </w:rPr>
              <w:t>3.【规章】《建设工程安全生产管理条例》（</w:t>
            </w:r>
            <w:r>
              <w:rPr>
                <w:rFonts w:hint="eastAsia" w:ascii="仿宋_GB2312" w:hAnsi="仿宋_GB2312" w:eastAsia="仿宋_GB2312" w:cs="仿宋_GB2312"/>
                <w:color w:val="333333"/>
                <w:shd w:val="clear" w:color="auto" w:fill="FFFFFF"/>
              </w:rPr>
              <w:t>2003年11月24日</w:t>
            </w:r>
            <w:r>
              <w:rPr>
                <w:rFonts w:hint="eastAsia" w:ascii="仿宋_GB2312" w:hAnsi="仿宋_GB2312" w:eastAsia="仿宋_GB2312" w:cs="仿宋_GB2312"/>
              </w:rPr>
              <w:t>国务院令第393号）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2970" w:type="dxa"/>
            <w:shd w:val="clear" w:color="auto" w:fill="auto"/>
            <w:vAlign w:val="center"/>
          </w:tcPr>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制定检查方案，下发检查督查通知（暗访不通知）。</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作出予以责令整改、停工整改、实施安全生产动态扣分、记入诚信档案等相应处理措施并向社会公布检查处理结果。</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强化对建筑业企业及工程建设项目安全生产情况的监管。</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其他法律法规应履行职责。</w:t>
            </w:r>
          </w:p>
          <w:p>
            <w:pPr>
              <w:adjustRightInd w:val="0"/>
              <w:snapToGrid w:val="0"/>
              <w:spacing w:line="252" w:lineRule="exact"/>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1-2.【法规】《建设工程安全生产管理条例》（2003年国务院令第393号公布）第四十条第二款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-1.【法规】《安全生产许可证条例》（2004年1月13日国务院令第397号公布，2014年7月29日第1次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3-2.【法规】《建设工程安全生产管理条例》（2003年国务院令第393号公布 2003年11月12日公布，2004年2月1日施行）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第六十七条 施工单位取得资质证书后，降低安全生产条件的，责令限期改正；经整改仍未达到与其资质等级相适应的安全生产条件的，责令停业整顿，降低其资质等级直至吊销资质证书。</w:t>
            </w:r>
          </w:p>
          <w:p>
            <w:pPr>
              <w:numPr>
                <w:ilvl w:val="0"/>
                <w:numId w:val="2"/>
              </w:num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【法规】同3-1、3-2</w:t>
            </w:r>
          </w:p>
          <w:p>
            <w:pPr>
              <w:numPr>
                <w:ilvl w:val="0"/>
                <w:numId w:val="2"/>
              </w:numPr>
              <w:adjustRightInd w:val="0"/>
              <w:snapToGrid w:val="0"/>
              <w:spacing w:line="25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安全生产许可证条例》（2004年1月13日国务院令第397号，2014年7月29日修订）第十八条：安全生产许可证颁发管理机关工作人员有下列行为之一的，给予降级或者撤职的行政处分；构成犯罪的，依法追究刑事责任：（一）向不符合本条例规定的安全生产条件的企业颁发安全生产许可证（二）发现企业未依法取得安全生产许可证擅自从事生产活动，不依法处理的；（三）发现取得安全生产许可证的企业不再具备本条例规定的安全生产条件，不依法处理的；（四）接到对违反本条例规定行为的举报后，不及时处理的；（五）在安全生产许可证颁发、管理和监督检查工作中，索取或者接受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4-2.【规章】《建筑施工企业安全生产许可证管理规定》（2004年7月5日建设部令第128号发布 根据2015年1月22日中华人民共和国住房和城乡建设部令第23号《住房和城乡建设部关于修改〈市政公用设施抗灾设防管理规定〉等部门规章的决定》修正）第二十一条 违反本规定，建设主管部门工作人员有下列行为之一的，给予降级或者撤职的行政处分；构成犯罪的，依法追究刑事责任：（一）向不符合安全生产条件的建筑施工企业颁发安全生产许可证的；（二）发现建筑施工企业未依法取得安全生产许可证擅自从事建筑施工活动，不依法处理的；（三）发现取得安全生产许可证的建筑施工企业不再具备安全生产条件，不依法处理的；（四）接到对违反本规定行为的举报后，不及时处理的；（五）在安全生产许可证颁发、管理和监督检查工作中，索取或者接受建筑施工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由于建筑施工企业弄虚作假，造成前款第（一）项行为的，对建设主管部门工作人员不予处分。</w:t>
            </w:r>
            <w:r>
              <w:rPr>
                <w:rFonts w:hint="eastAsia" w:ascii="仿宋_GB2312" w:hAnsi="仿宋_GB2312" w:eastAsia="仿宋_GB2312" w:cs="仿宋_GB2312"/>
              </w:rPr>
              <w:br w:type="textWrapping"/>
            </w:r>
            <w:r>
              <w:rPr>
                <w:rFonts w:hint="eastAsia" w:ascii="仿宋_GB2312" w:hAnsi="仿宋_GB2312" w:eastAsia="仿宋_GB2312" w:cs="仿宋_GB2312"/>
              </w:rPr>
              <w:t>4-3【规章】《安全生产许可证条例》（2004年1月13日国务院令第397号，2014年7月29日修订）第五十三条　违反本条例的规定，县级以上人民政府建设行政主管部门或者其他有关行政管理部门的工作人员，有下列行为之一的，给予降级或者撤职的行政处分；构成犯罪的，依照刑法有关规定追究刑事责任：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(一)对不具备安全生产条件的施工单位颁发资质证书的；</w:t>
            </w:r>
            <w:r>
              <w:rPr>
                <w:rFonts w:hint="eastAsia" w:ascii="仿宋_GB2312" w:hAnsi="仿宋_GB2312" w:eastAsia="仿宋_GB2312" w:cs="仿宋_GB2312"/>
              </w:rPr>
              <w:br w:type="textWrapping"/>
            </w:r>
            <w:r>
              <w:rPr>
                <w:rFonts w:hint="eastAsia" w:ascii="仿宋_GB2312" w:hAnsi="仿宋_GB2312" w:eastAsia="仿宋_GB2312" w:cs="仿宋_GB2312"/>
              </w:rPr>
              <w:t>(二)对没有安全施工措施的建设工程颁发施工许可证的；</w:t>
            </w:r>
            <w:r>
              <w:rPr>
                <w:rFonts w:hint="eastAsia" w:ascii="仿宋_GB2312" w:hAnsi="仿宋_GB2312" w:eastAsia="仿宋_GB2312" w:cs="仿宋_GB2312"/>
              </w:rPr>
              <w:br w:type="textWrapping"/>
            </w:r>
            <w:r>
              <w:rPr>
                <w:rFonts w:hint="eastAsia" w:ascii="仿宋_GB2312" w:hAnsi="仿宋_GB2312" w:eastAsia="仿宋_GB2312" w:cs="仿宋_GB2312"/>
              </w:rPr>
              <w:t>(三)发现违法行为不予查处的；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(四)不依法履行监督管理职责的其他行为。</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建设工程招标投标活动监督检查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第十五条“ 招标代理机构应当在招标人委托的范围内办理招标事宜，并遵守本法关于招标人的规定。”</w:t>
            </w:r>
          </w:p>
          <w:p>
            <w:pPr>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2001年5月31日发布施行）第四条：县级以上地方人民政府建设行政主管部门负责本行政区域内工程施工招标投标活动的监督管理。 第六条第二款“ 建设行政主管部门依法对施工招标投标活动实施监督，查处施工招标投标活动中的违法行为。”</w:t>
            </w:r>
          </w:p>
          <w:p>
            <w:pPr>
              <w:rPr>
                <w:rFonts w:ascii="仿宋_GB2312" w:hAnsi="仿宋_GB2312" w:eastAsia="仿宋_GB2312" w:cs="仿宋_GB2312"/>
                <w:snapToGrid w:val="0"/>
                <w:color w:val="000000"/>
              </w:rPr>
            </w:pP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：强化对建设工程招标投标活动的监管。</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r>
              <w:rPr>
                <w:rFonts w:hint="eastAsia" w:ascii="仿宋_GB2312" w:hAnsi="仿宋_GB2312" w:eastAsia="仿宋_GB2312" w:cs="仿宋_GB2312"/>
                <w:b/>
              </w:rPr>
              <w:t>。</w:t>
            </w:r>
          </w:p>
        </w:tc>
        <w:tc>
          <w:tcPr>
            <w:tcW w:w="4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1-1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1-2.【规章】《房屋建筑和市政基础设施工程施工招标投标管理办法》（2001年建设部令第89号公布 2001年5月31日发布施行）第四条：县级以上地方人民政府建设行政主管部门负责本行政区域内工程施工招标投标活动的监督管理。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3-1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第六十一条  本章规定的行政处罚，由国务院规定的有关行政监督部门决定。本法已对实施行政处罚的机关作出规定的除外。</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第六十二条  任何单位违反本法规定，限制或者排斥本地区、本系统以外的法人或者其他组织参加招投标的，为招标人制定招标代理机构的，强制招标人委托招标代理机构办理招标事宜的，或者已其他方式干涉招标投标活动的，责令改正；对单位直接负责的主管人员和其他直接责任人员依法给予警告、记过、记大过的处分，情节较重的，依法给予降级、撤职、开除的处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3-2.【规章】同1-3</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4-1.【法律】《中华人民共和国招标投标法》（11999年8月30日主席令第二十一号）第七条：招标投标活动及其当事人应当接受依法实施的监督。有关行政监督部门依法对招标投标活动实施监督，依法查处招标投标活动中的违法行为。</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4-2.【规章】同1-3</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2.同1.</w:t>
            </w:r>
          </w:p>
          <w:p>
            <w:pPr>
              <w:textAlignment w:val="center"/>
              <w:rPr>
                <w:rFonts w:ascii="仿宋_GB2312" w:hAnsi="仿宋_GB2312" w:eastAsia="仿宋_GB2312" w:cs="仿宋_GB2312"/>
              </w:rPr>
            </w:pPr>
            <w:r>
              <w:rPr>
                <w:rFonts w:hint="eastAsia" w:ascii="仿宋_GB2312" w:hAnsi="仿宋_GB2312" w:eastAsia="仿宋_GB2312" w:cs="仿宋_GB2312"/>
              </w:rPr>
              <w:t>3.同2.</w:t>
            </w:r>
          </w:p>
          <w:p>
            <w:pPr>
              <w:textAlignment w:val="center"/>
              <w:rPr>
                <w:rFonts w:ascii="仿宋_GB2312" w:hAnsi="仿宋_GB2312" w:eastAsia="仿宋_GB2312" w:cs="仿宋_GB2312"/>
              </w:rPr>
            </w:pPr>
            <w:r>
              <w:rPr>
                <w:rFonts w:hint="eastAsia" w:ascii="仿宋_GB2312" w:hAnsi="仿宋_GB2312" w:eastAsia="仿宋_GB2312" w:cs="仿宋_GB2312"/>
              </w:rPr>
              <w:t>4.【法律】《中华人民共和国招标投标法》（1999年8月30日主席令第二十一号）第六十三条：对招标投标活动依法负有行政监督职责的国家机关工作人员徇私舞弊、滥用职权或者玩忽职守，构成犯罪的，依法追究刑事责任；不构成犯罪的，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5.同4.</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6.同4 </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16</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建筑业企业取得资质后是否满足资质标准和市场行为的监督检查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【规章】《建筑业企业资质管理规定》（2015年住房和城乡建设部令第22号 2015年3月1日施行）第二十四条：县级以上人民政府住房城乡建设主管部门和其他有关部门应当依照有关法律、法规和本规定，加强对企业取得建筑业企业资质后是否满足资质标准和市场行为的监督管理。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：强化对建筑业企业是否满足资质标准和市场行为的的监管。</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 。</w:t>
            </w:r>
          </w:p>
        </w:tc>
        <w:tc>
          <w:tcPr>
            <w:tcW w:w="4950" w:type="dxa"/>
            <w:shd w:val="clear" w:color="auto" w:fill="auto"/>
            <w:vAlign w:val="center"/>
          </w:tcPr>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 行政机关可以对被许可人生产经营的产品依法进行抽样检查、检验、检测，对其生产经营场所依法进行实地检查。</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1-2.【部门规章】《建筑业企业资质管理规定》（2015年住房和城乡建设部令第22号公布 2015年3月1日施行）第二十四条 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2-1.【法律】《中华人民共和国行政处罚法》（1996年主席令第六十三号公布，2009年主席令第十八号第1次修改）第三十七条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2-2.【规章】《建筑业企业资质管理规定》（2015年住房和城乡建设部令第22号公布 2015年3月1日施行）第二十六条　住房城乡建设主管部门、其他有关部门的监督检查人员在实施监督检查时，应当出示证件，并要有两名以上人员参加……</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3.【规章】《建筑业企业资质管理规定》（2015年住房和城乡建设部令第22号公布 2015年3月1日施行）第二十七条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4.【规章】《建筑业企业资质管理规定》（2015年住房和城乡建设部令第22号公布 2015年3月1日施行）第二十四条：县级以上人民政府住房城乡建设主管部门和其他有关部门应当依照有关法律、法规和本规定，加强对企业取得建筑业企业资质后是否满足资质标准和市场行为的监督管理。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第三十二条　资质许可机关应当建立、健全建筑业企业信用档案管理制度。建筑业企业信用档案应当包括企业基本情况、资质、业绩、工程质量和安全、合同履约、社会投诉和违法行为等情况。</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4.【规章】《建筑业企业资质管理规定》（2015年住房和城乡建设部令第22号 2015年3月1日施行）第四十一条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72"/>
        <w:gridCol w:w="2993"/>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7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9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17</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有关建设工程质量的法律、法规和强制性标准执行情况的监督检查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72"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法规】《建设工程质量管理条例》（2000年1月30日国务院令第279号）第四十七条：县级以上地方人民政府建设行政主管部门和其他有关部门应当加强对有关建设工程质量的法律、法规和强制性标准执行情况的监督检查。</w:t>
            </w:r>
          </w:p>
        </w:tc>
        <w:tc>
          <w:tcPr>
            <w:tcW w:w="2993" w:type="dxa"/>
            <w:shd w:val="clear" w:color="auto" w:fill="auto"/>
            <w:vAlign w:val="center"/>
          </w:tcPr>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强化有关建设工程质量的法律、法规和强制性标准执行情况的监管；</w:t>
            </w:r>
          </w:p>
          <w:p>
            <w:pPr>
              <w:adjustRightInd w:val="0"/>
              <w:snapToGrid w:val="0"/>
              <w:spacing w:line="258" w:lineRule="exact"/>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1.【法规】《建设工程质量管理条例》（2000年1月30日国务院令第279号）第四十七条：县级以上地方人民政府建设行政主管部门和其他有关部门应当加强对有关建设工程质量的法律、法规和强制性标准执行情况的监督检查。</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4-1.【法律】《中华人民共和国标准化法》（由</w:t>
            </w:r>
            <w:r>
              <w:fldChar w:fldCharType="begin"/>
            </w:r>
            <w:r>
              <w:instrText xml:space="preserve"> HYPERLINK "http://baike.baidu.com/item/%E4%B8%AD%E5%8D%8E%E4%BA%BA%E6%B0%91%E5%85%B1%E5%92%8C%E5%9B%BD%E7%AC%AC%E4%B8%83%E5%B1%8A%E5%85%A8%E5%9B%BD%E4%BA%BA%E6%B0%91%E4%BB%A3%E8%A1%A8%E5%A4%A7%E4%BC%9A" \t "http://baike.baidu.com/_blank" </w:instrText>
            </w:r>
            <w:r>
              <w:fldChar w:fldCharType="separate"/>
            </w:r>
            <w:r>
              <w:rPr>
                <w:rFonts w:ascii="仿宋_GB2312" w:hAnsi="仿宋_GB2312" w:eastAsia="仿宋_GB2312" w:cs="仿宋_GB2312"/>
              </w:rPr>
              <w:t>中华人民共和国第七届全国人民代表大会</w:t>
            </w:r>
            <w:r>
              <w:rPr>
                <w:rFonts w:ascii="仿宋_GB2312" w:hAnsi="仿宋_GB2312" w:eastAsia="仿宋_GB2312" w:cs="仿宋_GB2312"/>
              </w:rPr>
              <w:fldChar w:fldCharType="end"/>
            </w:r>
            <w:r>
              <w:rPr>
                <w:rFonts w:ascii="仿宋_GB2312" w:hAnsi="仿宋_GB2312" w:eastAsia="仿宋_GB2312" w:cs="仿宋_GB2312"/>
              </w:rPr>
              <w:t>常务委员会第五次会议于1988年12月29日修订通过，自1989年4月1日起施行</w:t>
            </w:r>
            <w:r>
              <w:rPr>
                <w:rFonts w:hint="eastAsia" w:ascii="仿宋_GB2312" w:hAnsi="仿宋_GB2312" w:eastAsia="仿宋_GB2312" w:cs="仿宋_GB2312"/>
              </w:rPr>
              <w:t>）第二十四条 标准化工作的监督、检验、管理人员违法失职、徇私舞弊的，给予行政处分；构成犯罪的，依法追究刑事责任。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4-2《建设工程质量管理条例》第七十六条　国家机关工作人员在建设工程质量监督管理工作中玩忽职守、滥用职权、徇私舞弊，构成犯罪的，依法追究刑事责任；尚不构成犯罪的，依法给予行政处分。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18</w:t>
            </w:r>
          </w:p>
        </w:tc>
        <w:tc>
          <w:tcPr>
            <w:tcW w:w="735" w:type="dxa"/>
            <w:vMerge w:val="restart"/>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对工程勘察设计单位的监督检查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1.对工程勘察设计质量的监督检查</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1.【规章】《建设工程勘察设计管理条例》的决定（2000年9月25日中华人民共和国国务院令第293号公布　根据2015年6月12日《国务院关于修改〈建设工程勘察设计管理条例〉的决定》修订）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2.【法规】《广西壮族自治区建设工程勘察设计管理条例》（1999年3月26日广西壮族自治区第九届人民代表大会常务委员会第十次会议通过 ，2002年1月21日自治区第九届人大常委会第二十八次会议第一次修正，2004年7月31日自治区第十届人大常委会第九次会议第二次修正） 第二十八条：建设行政主管部门应当会同有关部门加强对工程勘察设计质量的监督检查，并向社会公布检查结果。工程勘察设计单位应当接受建设行政主管部门及有关部门对工程勘察设计质量的监督检查。</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检查结束后应按规定通报结果；依据相关法律法规对当事企业进行处罚。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强化对工程勘察设计</w:t>
            </w:r>
            <w:r>
              <w:rPr>
                <w:rFonts w:hint="eastAsia" w:ascii="仿宋_GB2312" w:hAnsi="仿宋_GB2312" w:eastAsia="仿宋_GB2312" w:cs="仿宋_GB2312"/>
              </w:rPr>
              <w:t>质量</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第五条　县级以上人民政府建设行政主管部门和交通、水利等有关部门应当依照本条例的规定，加强对建设工程勘察、设计活动的监督管理。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adjustRightInd w:val="0"/>
              <w:snapToGrid w:val="0"/>
              <w:spacing w:line="240" w:lineRule="atLeast"/>
              <w:ind w:firstLine="400" w:firstLineChars="200"/>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2.对工程勘察设计单位资质的监督检查</w:t>
            </w:r>
          </w:p>
        </w:tc>
        <w:tc>
          <w:tcPr>
            <w:tcW w:w="3295" w:type="dxa"/>
            <w:vAlign w:val="center"/>
          </w:tcPr>
          <w:p>
            <w:pPr>
              <w:spacing w:line="240" w:lineRule="atLeast"/>
              <w:ind w:left="1"/>
              <w:rPr>
                <w:rFonts w:ascii="仿宋_GB2312" w:hAnsi="仿宋_GB2312" w:eastAsia="仿宋_GB2312" w:cs="仿宋_GB2312"/>
                <w:snapToGrid w:val="0"/>
                <w:color w:val="000000"/>
              </w:rPr>
            </w:pPr>
            <w:r>
              <w:rPr>
                <w:rFonts w:hint="eastAsia" w:ascii="仿宋_GB2312" w:hAnsi="仿宋_GB2312" w:eastAsia="仿宋_GB2312" w:cs="仿宋_GB2312"/>
              </w:rPr>
              <w:t>1.【规章】《建设工程勘察设计资质管理规定》（2007年6月26日建设部令第160号）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w:t>
            </w:r>
            <w:r>
              <w:rPr>
                <w:rFonts w:hint="eastAsia" w:ascii="仿宋_GB2312" w:hAnsi="仿宋_GB2312" w:eastAsia="仿宋_GB2312" w:cs="仿宋_GB2312"/>
              </w:rPr>
              <w:t>并将企业违法线索移交行政执法部门进行立案查处</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w:t>
            </w:r>
            <w:r>
              <w:rPr>
                <w:rFonts w:hint="eastAsia" w:ascii="仿宋_GB2312" w:hAnsi="仿宋_GB2312" w:eastAsia="仿宋_GB2312" w:cs="仿宋_GB2312"/>
              </w:rPr>
              <w:t>勘察设计单位资质</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6.　《建设工程勘察设计资质管理规定》（2007年6月26日建设部令第160号）第三十六条  建设主管部门及其工作人员，违反本规定，有下列情形之一的，由其上级行政机关或者监察机关责令改正；情节严重的，对直接负责的主管人员和其他直接责任人员，依法给予行政处分：</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（一）对不符合条件的申请人准予工程勘察、设计资质许可的；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（二）对符合条件的申请人不予工程勘察、设计资质许可或者未在法定期限内作出许可决定的；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（三）对符合条件的申请不予受理或者未在法定期限内初审完毕的；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（四）利用职务上的便利，收受他人财物或者其他好处的；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（五）不依法履行监督职责或者监督不力，造成严重后果的。</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19</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房屋建筑和市政基础设施工程勘察、设计质量和施工图设计文件审查质量检查</w:t>
            </w:r>
          </w:p>
        </w:tc>
        <w:tc>
          <w:tcPr>
            <w:tcW w:w="485" w:type="dxa"/>
            <w:shd w:val="clear" w:color="auto" w:fill="auto"/>
            <w:vAlign w:val="center"/>
          </w:tcPr>
          <w:p>
            <w:pPr>
              <w:rPr>
                <w:rFonts w:ascii="仿宋_GB2312" w:hAnsi="仿宋_GB2312" w:eastAsia="仿宋_GB2312" w:cs="仿宋_GB2312"/>
                <w:snapToGrid w:val="0"/>
                <w:color w:val="000000"/>
              </w:rPr>
            </w:pPr>
          </w:p>
        </w:tc>
        <w:tc>
          <w:tcPr>
            <w:tcW w:w="3295" w:type="dxa"/>
            <w:shd w:val="clear" w:color="auto" w:fill="auto"/>
            <w:vAlign w:val="center"/>
          </w:tcPr>
          <w:p>
            <w:pPr>
              <w:spacing w:line="240" w:lineRule="atLeast"/>
              <w:ind w:left="1"/>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（六）施工图审查质量；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pPr>
              <w:spacing w:line="240" w:lineRule="atLeast"/>
              <w:ind w:left="1"/>
              <w:rPr>
                <w:rFonts w:ascii="仿宋_GB2312" w:hAnsi="仿宋_GB2312" w:eastAsia="仿宋_GB2312" w:cs="仿宋_GB2312"/>
                <w:snapToGrid w:val="0"/>
                <w:color w:val="000000"/>
              </w:rPr>
            </w:pPr>
            <w:r>
              <w:rPr>
                <w:rFonts w:hint="eastAsia" w:ascii="仿宋_GB2312" w:hAnsi="仿宋_GB2312" w:eastAsia="仿宋_GB2312" w:cs="仿宋_GB2312"/>
              </w:rPr>
              <w:t>　　建设主管部门实施监督检查时，有权要求被检查的审查机构提供有关施工图审查的文件和资料。”</w:t>
            </w:r>
          </w:p>
        </w:tc>
        <w:tc>
          <w:tcPr>
            <w:tcW w:w="2970" w:type="dxa"/>
            <w:shd w:val="clear" w:color="auto" w:fill="auto"/>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w:t>
            </w:r>
            <w:r>
              <w:rPr>
                <w:rFonts w:hint="eastAsia" w:ascii="仿宋_GB2312" w:hAnsi="仿宋_GB2312" w:eastAsia="仿宋_GB2312" w:cs="仿宋_GB2312"/>
              </w:rPr>
              <w:t>违法线索移交执法部门立案查处</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w:t>
            </w:r>
            <w:r>
              <w:rPr>
                <w:rFonts w:hint="eastAsia" w:ascii="仿宋_GB2312" w:hAnsi="仿宋_GB2312" w:eastAsia="仿宋_GB2312" w:cs="仿宋_GB2312"/>
              </w:rPr>
              <w:t>房屋建筑和市政基础设施工程勘察、设计质量和施工图设计文件审查质量</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shd w:val="clear" w:color="auto" w:fill="auto"/>
            <w:vAlign w:val="center"/>
          </w:tcPr>
          <w:p>
            <w:pPr>
              <w:spacing w:line="240" w:lineRule="atLeast"/>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（六）施工图审查质量；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建设主管部门实施监督检查时，有权要求被检查的审查机构提供有关施工图审查的文件和资料。”</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其他法律法规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4922"/>
        <w:gridCol w:w="2750"/>
        <w:gridCol w:w="3543"/>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492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7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354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20</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房屋建筑和市政基础设施工程抗震设防情况的监督检查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1.房屋建筑和市政基础设施工程抗震设防情况的监督检查</w:t>
            </w:r>
          </w:p>
        </w:tc>
        <w:tc>
          <w:tcPr>
            <w:tcW w:w="4922"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1.【法律】《中华人民共和国防震减灾法》（</w:t>
            </w:r>
            <w:r>
              <w:rPr>
                <w:rFonts w:hint="eastAsia" w:ascii="仿宋_GB2312" w:hAnsi="仿宋_GB2312" w:eastAsia="仿宋_GB2312" w:cs="仿宋_GB2312"/>
                <w:color w:val="333333"/>
                <w:shd w:val="clear" w:color="auto" w:fill="FFFFFF"/>
              </w:rPr>
              <w:t>第八届全国人民代表大会常务委员会第二十九次会议于1997年12月29日通过，自1998年3月1日起施行</w:t>
            </w:r>
            <w:r>
              <w:rPr>
                <w:rFonts w:hint="eastAsia" w:ascii="仿宋_GB2312" w:hAnsi="仿宋_GB2312" w:eastAsia="仿宋_GB2312" w:cs="仿宋_GB2312"/>
              </w:rPr>
              <w:t>）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r>
              <w:rPr>
                <w:rFonts w:hint="eastAsia" w:ascii="仿宋_GB2312" w:hAnsi="仿宋_GB2312" w:eastAsia="仿宋_GB2312" w:cs="仿宋_GB2312"/>
              </w:rPr>
              <w:br w:type="textWrapping"/>
            </w:r>
            <w:r>
              <w:rPr>
                <w:rFonts w:hint="eastAsia" w:ascii="仿宋_GB2312" w:hAnsi="仿宋_GB2312" w:eastAsia="仿宋_GB2312" w:cs="仿宋_GB2312"/>
              </w:rPr>
              <w:t>2.【规章】《建设工程抗御地震灾害管理规定》(《建设工程抗御地震灾害管理规定》已于一九九四年十一月一日经十七次部常务会议通过建设部令第38号)第二十一条“建设行政主管部门应会同有关部门对工程项目抗震设计质量进行审查、监督。”第二十三条 “各级工程质量监督部门，对工程质量进行检查时，应同时对抗震设防措施进行监督和检查。凡不符合抗震设防要求的工程，应令其补强、返工以至停工。”</w:t>
            </w:r>
            <w:r>
              <w:rPr>
                <w:rFonts w:hint="eastAsia" w:ascii="仿宋_GB2312" w:hAnsi="仿宋_GB2312" w:eastAsia="仿宋_GB2312" w:cs="仿宋_GB2312"/>
              </w:rPr>
              <w:br w:type="textWrapping"/>
            </w:r>
            <w:r>
              <w:rPr>
                <w:rFonts w:hint="eastAsia" w:ascii="仿宋_GB2312" w:hAnsi="仿宋_GB2312" w:eastAsia="仿宋_GB2312" w:cs="仿宋_GB2312"/>
              </w:rPr>
              <w:t>3.【规章】《房屋建筑工程抗震设防管理规定》（2006年4月1日颁建设部第　148　号）第二十条　“县级以上地方人民政府建设主管部门应当加强对房屋建筑工程抗震设防质量的监督管理，并对本行政区域内房屋建筑工程执行抗震设防的法律、法规和工程建设强制性标准情况，定期进行监督检查。　县级以上地方人民政府建设主管部门应当对村镇建设抗震设防进行指导和监督。” 第二十二条　“县级以上地方人民政府建设主管部门有权组织抗震设防检查，并采取下列措施：　（一）要求被检查的单位提供有关房屋建筑工程抗震的文件和资料；（二）发现有影响房屋建筑工程抗震设防质量的问题时，责令改正。”</w:t>
            </w:r>
          </w:p>
          <w:p>
            <w:pPr>
              <w:spacing w:line="260" w:lineRule="exact"/>
              <w:rPr>
                <w:rFonts w:ascii="仿宋_GB2312" w:hAnsi="仿宋_GB2312" w:eastAsia="仿宋_GB2312" w:cs="仿宋_GB2312"/>
                <w:snapToGrid w:val="0"/>
                <w:color w:val="000000"/>
              </w:rPr>
            </w:pPr>
            <w:r>
              <w:rPr>
                <w:rFonts w:hint="eastAsia" w:ascii="仿宋_GB2312" w:hAnsi="仿宋_GB2312" w:eastAsia="仿宋_GB2312" w:cs="仿宋_GB2312"/>
              </w:rPr>
              <w:t>4.【规章】《超限高层建筑工程抗震设防管理规定》（</w:t>
            </w:r>
            <w:r>
              <w:rPr>
                <w:rFonts w:hint="eastAsia" w:ascii="仿宋_GB2312" w:hAnsi="仿宋_GB2312" w:eastAsia="仿宋_GB2312" w:cs="仿宋_GB2312"/>
                <w:color w:val="333333"/>
                <w:shd w:val="clear" w:color="auto" w:fill="FFFFFF"/>
              </w:rPr>
              <w:t>经2002年7月11日建设部第61次常务会议审议通过，中华人民共和国建设部令第 111 号</w:t>
            </w:r>
            <w:r>
              <w:rPr>
                <w:rFonts w:hint="eastAsia" w:ascii="仿宋_GB2312" w:hAnsi="仿宋_GB2312" w:eastAsia="仿宋_GB2312" w:cs="仿宋_GB2312"/>
              </w:rPr>
              <w:t>）第三条　国务院建设行政主管部门负责全国超限高层建筑工程抗震设防的管理工作。省、自治区、直辖市人民政府建设行政主管部门负责本行政区内超限高层建筑工程抗震设防的管理工作。</w:t>
            </w:r>
          </w:p>
        </w:tc>
        <w:tc>
          <w:tcPr>
            <w:tcW w:w="275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房屋建筑工程抗震设防管理规定》（2006年4月1日颁建设部第　148　号）</w:t>
            </w:r>
            <w:r>
              <w:rPr>
                <w:rFonts w:ascii="仿宋_GB2312" w:hAnsi="仿宋_GB2312" w:eastAsia="仿宋_GB2312" w:cs="仿宋_GB2312"/>
              </w:rPr>
              <w:t>第四条 国务院建设主管部门负责全国房屋建筑工程抗震设防的监督管理工作。县级以上地方人民政府建设主管部门负责本行政区域内房屋建筑工程抗震设防的监督管理工作。</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第二十条 县级以上地方人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第二十二条 县级以上地方人民政府建设主管部门有权组织抗震设防检查，并采取下列措施：</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（一）要求被检查的单位提供有关房屋建筑工程抗震的文件和资料；（二）发现有影响房屋建筑工程抗震设防质量的问题时，责令改正。</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color w:val="000000" w:themeColor="text1"/>
              </w:rPr>
            </w:pPr>
            <w:r>
              <w:rPr>
                <w:rFonts w:ascii="仿宋_GB2312" w:hAnsi="仿宋_GB2312" w:eastAsia="仿宋_GB2312" w:cs="仿宋_GB2312"/>
                <w:color w:val="000000" w:themeColor="text1"/>
              </w:rPr>
              <w:t>6</w:t>
            </w:r>
            <w:r>
              <w:rPr>
                <w:rFonts w:hint="eastAsia" w:ascii="仿宋_GB2312" w:hAnsi="仿宋_GB2312" w:eastAsia="仿宋_GB2312" w:cs="仿宋_GB2312"/>
                <w:color w:val="000000" w:themeColor="text1"/>
              </w:rPr>
              <w:t>-1.</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rPr>
              <w:t xml:space="preserve">6-2. </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《超限高层建筑工程抗震设防管理规定》</w:t>
            </w:r>
            <w:r>
              <w:rPr>
                <w:rFonts w:ascii="仿宋_GB2312" w:hAnsi="仿宋_GB2312" w:eastAsia="仿宋_GB2312" w:cs="仿宋_GB2312"/>
                <w:color w:val="000000" w:themeColor="text1"/>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2.市政公用设施抗震专项论证工作检查</w:t>
            </w:r>
          </w:p>
        </w:tc>
        <w:tc>
          <w:tcPr>
            <w:tcW w:w="4922" w:type="dxa"/>
            <w:vAlign w:val="center"/>
          </w:tcPr>
          <w:p>
            <w:pPr>
              <w:adjustRightInd w:val="0"/>
              <w:snapToGrid w:val="0"/>
              <w:rPr>
                <w:rFonts w:ascii="仿宋_GB2312" w:hAnsi="仿宋_GB2312" w:eastAsia="仿宋_GB2312" w:cs="仿宋_GB2312"/>
                <w:snapToGrid w:val="0"/>
                <w:color w:val="000000"/>
              </w:rPr>
            </w:pPr>
            <w:r>
              <w:rPr>
                <w:rFonts w:hint="eastAsia" w:ascii="宋体" w:hAnsi="宋体" w:cs="宋体"/>
                <w:color w:val="000000"/>
                <w:sz w:val="22"/>
                <w:szCs w:val="22"/>
                <w:shd w:val="clear" w:color="auto" w:fill="FFFFFF"/>
              </w:rPr>
              <w:t> </w:t>
            </w:r>
            <w:r>
              <w:rPr>
                <w:rFonts w:hint="eastAsia" w:ascii="仿宋_GB2312" w:hAnsi="仿宋_GB2312" w:eastAsia="仿宋_GB2312" w:cs="仿宋_GB2312"/>
              </w:rPr>
              <w:t>1.【规章】《市政公用设施抗灾设防管理规定》(住房城乡建设部令第1号)第四条第二款：县级以上地方人民政府建设主管部门依法负责本行政区域内市政公用设施抗灾设防的具体管理工作</w:t>
            </w:r>
          </w:p>
        </w:tc>
        <w:tc>
          <w:tcPr>
            <w:tcW w:w="275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w:t>
            </w:r>
            <w:r>
              <w:rPr>
                <w:rFonts w:hint="eastAsia" w:ascii="仿宋_GB2312" w:hAnsi="仿宋_GB2312" w:eastAsia="仿宋_GB2312" w:cs="仿宋_GB2312"/>
              </w:rPr>
              <w:t>章】《市政公用设施抗灾设防管理规定》(于2008年9月18日经住房和城乡建设部第20次常务会议审议通过，现予发布，自2008年12月1日起施行住房城乡建设部令第1号)第四条第二款：县级以上地方人民政府建设主管部门依法负责本行政区域内市政公用设施抗灾设防的具体管理工作</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color w:val="000000" w:themeColor="text1"/>
              </w:rPr>
            </w:pPr>
            <w:r>
              <w:rPr>
                <w:rFonts w:ascii="仿宋_GB2312" w:hAnsi="仿宋_GB2312" w:eastAsia="仿宋_GB2312" w:cs="仿宋_GB2312"/>
                <w:color w:val="000000" w:themeColor="text1"/>
              </w:rPr>
              <w:t>6</w:t>
            </w:r>
            <w:r>
              <w:rPr>
                <w:rFonts w:hint="eastAsia" w:ascii="仿宋_GB2312" w:hAnsi="仿宋_GB2312" w:eastAsia="仿宋_GB2312" w:cs="仿宋_GB2312"/>
                <w:color w:val="000000" w:themeColor="text1"/>
              </w:rPr>
              <w:t>-1.</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rPr>
              <w:t xml:space="preserve">6-2. </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《超限高层建筑工程抗震设防管理规定》</w:t>
            </w:r>
            <w:r>
              <w:rPr>
                <w:rFonts w:ascii="仿宋_GB2312" w:hAnsi="仿宋_GB2312" w:eastAsia="仿宋_GB2312" w:cs="仿宋_GB2312"/>
                <w:color w:val="000000" w:themeColor="text1"/>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21</w:t>
            </w:r>
          </w:p>
        </w:tc>
        <w:tc>
          <w:tcPr>
            <w:tcW w:w="73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建筑节能专项执法检查</w:t>
            </w:r>
          </w:p>
        </w:tc>
        <w:tc>
          <w:tcPr>
            <w:tcW w:w="48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节约能源法》（2007年主席令第七十七号公布，2016年主席令第四十八号修改）第十条第二款：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pPr>
              <w:spacing w:line="240" w:lineRule="atLeast"/>
              <w:rPr>
                <w:rFonts w:ascii="仿宋_GB2312" w:hAnsi="仿宋_GB2312" w:eastAsia="仿宋_GB2312" w:cs="仿宋_GB2312"/>
              </w:rPr>
            </w:pPr>
            <w:r>
              <w:rPr>
                <w:rFonts w:hint="eastAsia" w:ascii="仿宋_GB2312" w:hAnsi="仿宋_GB2312" w:eastAsia="仿宋_GB2312" w:cs="仿宋_GB2312"/>
              </w:rPr>
              <w:t>第十一条：国务院和县级以上地方各级人民政府应当加强对节能工作的领导，部署、协调、监督、检查、推动节能工作。</w:t>
            </w:r>
          </w:p>
          <w:p>
            <w:pPr>
              <w:spacing w:line="240" w:lineRule="atLeast"/>
              <w:rPr>
                <w:rFonts w:ascii="仿宋_GB2312" w:hAnsi="仿宋_GB2312" w:eastAsia="仿宋_GB2312" w:cs="仿宋_GB2312"/>
              </w:rPr>
            </w:pPr>
            <w:r>
              <w:rPr>
                <w:rFonts w:hint="eastAsia" w:ascii="仿宋_GB2312" w:hAnsi="仿宋_GB2312" w:eastAsia="仿宋_GB2312" w:cs="仿宋_GB2312"/>
              </w:rPr>
              <w:t>第十二条：县级以上人民政府管理节能工作的部门和有关部门应当在各自的职责范围内，加强对节能法律、法规和节能标准执行情况的监督检查，依法查处违法用能行为。</w:t>
            </w:r>
          </w:p>
          <w:p>
            <w:pPr>
              <w:spacing w:line="240" w:lineRule="atLeast"/>
              <w:rPr>
                <w:rFonts w:ascii="仿宋_GB2312" w:hAnsi="仿宋_GB2312" w:eastAsia="仿宋_GB2312" w:cs="仿宋_GB2312"/>
              </w:rPr>
            </w:pPr>
            <w:r>
              <w:rPr>
                <w:rFonts w:hint="eastAsia" w:ascii="仿宋_GB2312" w:hAnsi="仿宋_GB2312" w:eastAsia="仿宋_GB2312" w:cs="仿宋_GB2312"/>
              </w:rPr>
              <w:t>2.【法规】《民用建筑节能条例》（2008年国务院令第530号公布）第五条：国务院建设主管部门负责全国民用建筑节能的监督管理工作。县级以上地方人民政府建设主管部门负责本行政区域民用建筑节能的监督管理工作。</w:t>
            </w:r>
          </w:p>
          <w:p>
            <w:pPr>
              <w:spacing w:line="240" w:lineRule="atLeast"/>
              <w:rPr>
                <w:rFonts w:ascii="仿宋_GB2312" w:hAnsi="仿宋_GB2312" w:eastAsia="仿宋_GB2312" w:cs="仿宋_GB2312"/>
              </w:rPr>
            </w:pPr>
            <w:r>
              <w:rPr>
                <w:rFonts w:hint="eastAsia" w:ascii="仿宋_GB2312" w:hAnsi="仿宋_GB2312" w:eastAsia="仿宋_GB2312" w:cs="仿宋_GB2312"/>
              </w:rPr>
              <w:t>县级以上人民政府有关部门应当依照本条例的规定以及本级人民政府规定的职责分工，负责民用建筑节能的有关工作。</w:t>
            </w:r>
          </w:p>
        </w:tc>
        <w:tc>
          <w:tcPr>
            <w:tcW w:w="297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印发年度检查通知，制定检查方案，明确检查目的、检查内容、检查组织安排、检查相关要求等；督导各市住建委（局）按照通知要求认真做好自查工作，将各项相关材料上报自治区住建厅，并做好迎接检查工作。</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汇总、整理、检查核实各市住建委（局）上报的节能自查各项相关材料；根据检查方案，组织专家组，依据相关的法律法规规章文件及规范性文件要求，通过检查资料、现场抽查等方式，对建筑节能执行情况进行专项执法检查（检查时，执法人员不得少于2人）。</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撰写自治区级《年度建筑节能与绿色建筑行动实施情况总结报告》，对检查中发现的问题，提出整改措施，制作下发整改通知书或执法建议书，被检查的单位和个人对检查结果有异议的，可向承检单位提出书面意见，否则视为承认检查结果。承检单位收到被检查单位和个人的书面意见后，应当作出书面答复，并抄报下达任务单位，必要时应复检1次。。</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对检查中发现的问题、检查组提出的整改措施进行跟踪督导；对违反有关法律法规及技术标准强制性规定的住建部下发执法告知书的工程项目进行跟踪监督；建立建筑节能专项执法检查档案，加强建筑节能项目的监督检查。</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1-1．【法律】《中华人民共和国节约能源法》（2007年主席令第七十七号公布，2016年主席令第四十八号修改）第十条第二款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第十一条  国务院和县级以上地方各级人民政府应当加强对节能工作的领导，部署、协调、监督、检查、推动节能工作。第十二条  县级以上人民政府管理节能工作的部门和有关部门应当在各自的职责范围内，加强对节能法律、法规和节能标准执行情况的监督检查，依法查处违法用能行为。第三十四条  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pPr>
              <w:spacing w:line="240" w:lineRule="atLeast"/>
              <w:rPr>
                <w:rFonts w:ascii="仿宋_GB2312" w:hAnsi="仿宋_GB2312" w:eastAsia="仿宋_GB2312" w:cs="仿宋_GB2312"/>
              </w:rPr>
            </w:pPr>
            <w:r>
              <w:rPr>
                <w:rFonts w:hint="eastAsia" w:ascii="仿宋_GB2312" w:hAnsi="仿宋_GB2312" w:eastAsia="仿宋_GB2312" w:cs="仿宋_GB2312"/>
              </w:rPr>
              <w:t>1-2．【法规】《民用建筑节能条例》（2008年国务院令第530号公布）第五条  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p>
            <w:pPr>
              <w:spacing w:line="240" w:lineRule="atLeast"/>
              <w:rPr>
                <w:rFonts w:ascii="仿宋_GB2312" w:hAnsi="仿宋_GB2312" w:eastAsia="仿宋_GB2312" w:cs="仿宋_GB2312"/>
              </w:rPr>
            </w:pPr>
            <w:r>
              <w:rPr>
                <w:rFonts w:hint="eastAsia" w:ascii="仿宋_GB2312" w:hAnsi="仿宋_GB2312" w:eastAsia="仿宋_GB2312" w:cs="仿宋_GB2312"/>
              </w:rPr>
              <w:t>1-3．【规章】《广西壮族自治区行政执法程序规定》（1997年广西壮族自治区人民政府令第13号公布）第十九条  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spacing w:line="240" w:lineRule="atLeast"/>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2．【法律】《中华人民共和国行政处罚法》（1996年主席令第63号公布，2009年主席令第18号修改）第三十七条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spacing w:line="240" w:lineRule="atLeast"/>
              <w:rPr>
                <w:rFonts w:ascii="仿宋_GB2312" w:hAnsi="仿宋_GB2312" w:eastAsia="仿宋_GB2312" w:cs="仿宋_GB2312"/>
              </w:rPr>
            </w:pPr>
            <w:r>
              <w:rPr>
                <w:rFonts w:hint="eastAsia" w:ascii="仿宋_GB2312" w:hAnsi="仿宋_GB2312" w:eastAsia="仿宋_GB2312" w:cs="仿宋_GB2312"/>
              </w:rPr>
              <w:t>3．【法律】《中华人民共和国节约能源法》（2007年主席令第七十七号公布，2016年主席令第四十八号修改）第六十八条  负责审批政府投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4-1。【法律】同1-1。</w:t>
            </w:r>
          </w:p>
          <w:p>
            <w:pPr>
              <w:spacing w:line="240" w:lineRule="atLeast"/>
              <w:rPr>
                <w:rFonts w:ascii="仿宋_GB2312" w:hAnsi="仿宋_GB2312" w:eastAsia="仿宋_GB2312" w:cs="仿宋_GB2312"/>
              </w:rPr>
            </w:pPr>
            <w:r>
              <w:rPr>
                <w:rFonts w:hint="eastAsia" w:ascii="仿宋_GB2312" w:hAnsi="仿宋_GB2312" w:eastAsia="仿宋_GB2312" w:cs="仿宋_GB2312"/>
              </w:rPr>
              <w:t>4-2。【法规】同1-2。</w:t>
            </w:r>
          </w:p>
        </w:tc>
        <w:tc>
          <w:tcPr>
            <w:tcW w:w="151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3.违反法定程序实施检查的。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spacing w:line="240" w:lineRule="atLeas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spacing w:line="240" w:lineRule="atLeast"/>
              <w:rPr>
                <w:rFonts w:ascii="仿宋_GB2312" w:hAnsi="仿宋_GB2312" w:eastAsia="仿宋_GB2312" w:cs="仿宋_GB2312"/>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spacing w:line="240" w:lineRule="atLeast"/>
              <w:rPr>
                <w:rFonts w:ascii="仿宋_GB2312" w:hAnsi="仿宋_GB2312" w:eastAsia="仿宋_GB2312" w:cs="仿宋_GB2312"/>
              </w:rPr>
            </w:pPr>
            <w:r>
              <w:rPr>
                <w:rFonts w:hint="eastAsia" w:ascii="仿宋_GB2312" w:hAnsi="仿宋_GB2312" w:eastAsia="仿宋_GB2312" w:cs="仿宋_GB2312"/>
              </w:rPr>
              <w:t>（一）没有法定的行政处罚依据的；</w:t>
            </w:r>
          </w:p>
          <w:p>
            <w:pPr>
              <w:spacing w:line="240" w:lineRule="atLeast"/>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spacing w:line="240" w:lineRule="atLeast"/>
              <w:rPr>
                <w:rFonts w:ascii="仿宋_GB2312" w:hAnsi="仿宋_GB2312" w:eastAsia="仿宋_GB2312" w:cs="仿宋_GB2312"/>
              </w:rPr>
            </w:pPr>
            <w:r>
              <w:rPr>
                <w:rFonts w:hint="eastAsia" w:ascii="仿宋_GB2312" w:hAnsi="仿宋_GB2312" w:eastAsia="仿宋_GB2312" w:cs="仿宋_GB2312"/>
              </w:rPr>
              <w:t>（三）违反法定的行政处罚程序的；</w:t>
            </w:r>
          </w:p>
          <w:p>
            <w:pPr>
              <w:spacing w:line="240" w:lineRule="atLeast"/>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spacing w:line="240" w:lineRule="atLeast"/>
              <w:rPr>
                <w:rFonts w:ascii="仿宋_GB2312" w:hAnsi="仿宋_GB2312" w:eastAsia="仿宋_GB2312" w:cs="仿宋_GB2312"/>
              </w:rPr>
            </w:pPr>
            <w:r>
              <w:rPr>
                <w:rFonts w:hint="eastAsia" w:ascii="仿宋_GB2312" w:hAnsi="仿宋_GB2312" w:eastAsia="仿宋_GB2312" w:cs="仿宋_GB2312"/>
              </w:rPr>
              <w:t>2.同1.</w:t>
            </w:r>
          </w:p>
          <w:p>
            <w:pPr>
              <w:spacing w:line="240" w:lineRule="atLeast"/>
              <w:rPr>
                <w:rFonts w:ascii="仿宋_GB2312" w:hAnsi="仿宋_GB2312" w:eastAsia="仿宋_GB2312" w:cs="仿宋_GB2312"/>
              </w:rPr>
            </w:pPr>
            <w:r>
              <w:rPr>
                <w:rFonts w:hint="eastAsia" w:ascii="仿宋_GB2312" w:hAnsi="仿宋_GB2312" w:eastAsia="仿宋_GB2312" w:cs="仿宋_GB2312"/>
              </w:rPr>
              <w:t>3.同2.</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4-1.【法律】《中华人民共和国节约能源法》（2007年主席令第七十七号公布，2016年主席令第四十八号修改）第八十六条　国家工作人员在节能管理工作中滥用职权、玩忽职守、徇私舞弊，构成犯罪的，依法追究刑事责任；尚不构成犯罪的，依法给予处分。</w:t>
            </w:r>
          </w:p>
          <w:p>
            <w:pPr>
              <w:spacing w:line="240" w:lineRule="atLeast"/>
              <w:rPr>
                <w:rFonts w:ascii="仿宋_GB2312" w:hAnsi="仿宋_GB2312" w:eastAsia="仿宋_GB2312" w:cs="仿宋_GB2312"/>
              </w:rPr>
            </w:pPr>
            <w:r>
              <w:rPr>
                <w:rFonts w:hint="eastAsia" w:ascii="仿宋_GB2312" w:hAnsi="仿宋_GB2312" w:eastAsia="仿宋_GB2312" w:cs="仿宋_GB2312"/>
              </w:rPr>
              <w:t>4-2.【规章】《民用建筑节能条例》（2008年国务院令第530号公布）第三十五条　违反本条例规定，县级以上人民政府有关部门有下列行为之一的，对负有责任的主管人员和其他直接责任人员依法给予处分；构成犯罪的，依法追究刑事责任：（一）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p>
          <w:p>
            <w:pPr>
              <w:spacing w:line="240" w:lineRule="atLeast"/>
              <w:rPr>
                <w:rFonts w:ascii="仿宋_GB2312" w:hAnsi="仿宋_GB2312" w:eastAsia="仿宋_GB2312" w:cs="仿宋_GB2312"/>
              </w:rPr>
            </w:pPr>
            <w:r>
              <w:rPr>
                <w:rFonts w:hint="eastAsia" w:ascii="仿宋_GB2312" w:hAnsi="仿宋_GB2312" w:eastAsia="仿宋_GB2312" w:cs="仿宋_GB2312"/>
              </w:rPr>
              <w:t>5.同4.</w:t>
            </w:r>
          </w:p>
          <w:p>
            <w:pPr>
              <w:spacing w:line="240" w:lineRule="atLeas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 xml:space="preserve">第一百零四条：“公务员主管部门的工作人员，违反本法规定，滥用职权、玩忽职守、徇私舞弊，构成犯罪的，依法追究刑事责任；尚不构成犯罪的，给予处分。”  </w:t>
            </w:r>
          </w:p>
        </w:tc>
        <w:tc>
          <w:tcPr>
            <w:tcW w:w="984"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22</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危旧房改住房改造监督检查</w:t>
            </w:r>
          </w:p>
        </w:tc>
        <w:tc>
          <w:tcPr>
            <w:tcW w:w="485" w:type="dxa"/>
            <w:vAlign w:val="center"/>
          </w:tcPr>
          <w:p>
            <w:pPr>
              <w:spacing w:line="240" w:lineRule="exact"/>
              <w:rPr>
                <w:rFonts w:ascii="仿宋_GB2312" w:hAnsi="仿宋_GB2312" w:eastAsia="仿宋_GB2312" w:cs="仿宋_GB2312"/>
                <w:snapToGrid w:val="0"/>
                <w:color w:val="000000"/>
              </w:rPr>
            </w:pP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【国务院决定】《国务院关于解决城市低收入家庭住房困难的若干意见》（国发〔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号）：“四、逐步改善其他住房困难群体的居住条件。”、“（十四）积极推进旧住宅区综合整治。”、“（二十）加强监督检查。”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【规范性文件】建设部《关于开展旧住宅区整治改造的指导意见》（建住房〔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【规范性文件】《广西壮族自治区人民政府关于印发</w:t>
            </w:r>
            <w:r>
              <w:rPr>
                <w:rFonts w:ascii="仿宋_GB2312" w:hAnsi="仿宋_GB2312" w:eastAsia="仿宋_GB2312" w:cs="仿宋_GB2312"/>
              </w:rPr>
              <w:t>&lt;</w:t>
            </w:r>
            <w:r>
              <w:rPr>
                <w:rFonts w:hint="eastAsia" w:ascii="仿宋_GB2312" w:hAnsi="仿宋_GB2312" w:eastAsia="仿宋_GB2312" w:cs="仿宋_GB2312"/>
              </w:rPr>
              <w:t>广西壮族自治区危旧房改住房改造暂行办法</w:t>
            </w:r>
            <w:r>
              <w:rPr>
                <w:rFonts w:ascii="仿宋_GB2312" w:hAnsi="仿宋_GB2312" w:eastAsia="仿宋_GB2312" w:cs="仿宋_GB2312"/>
              </w:rPr>
              <w:t>&gt;</w:t>
            </w:r>
            <w:r>
              <w:rPr>
                <w:rFonts w:hint="eastAsia" w:ascii="仿宋_GB2312" w:hAnsi="仿宋_GB2312" w:eastAsia="仿宋_GB2312" w:cs="仿宋_GB2312"/>
              </w:rPr>
              <w:t>的通知》（桂政发</w:t>
            </w:r>
            <w:r>
              <w:rPr>
                <w:rFonts w:ascii="仿宋_GB2312" w:hAnsi="仿宋_GB2312" w:eastAsia="仿宋_GB2312" w:cs="仿宋_GB2312"/>
              </w:rPr>
              <w:t>[2009]16</w:t>
            </w:r>
            <w:r>
              <w:rPr>
                <w:rFonts w:hint="eastAsia" w:ascii="仿宋_GB2312" w:hAnsi="仿宋_GB2312" w:eastAsia="仿宋_GB2312" w:cs="仿宋_GB2312"/>
              </w:rPr>
              <w:t>号）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tc>
        <w:tc>
          <w:tcPr>
            <w:tcW w:w="2970" w:type="dxa"/>
            <w:vAlign w:val="center"/>
          </w:tcPr>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制定检查方案，确定检查对象、内容、时间和方式，通知相关单位。</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检查时，通常进行现场检查、询问，翻阅相关账表资料、证明证书等，收集项目建设过程中存在的问题和困难，填写《检查情况登记表》。</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对检查中发现的一般性问题，现场向建设单位反馈要求整改，对检查中发现的重大问题，书面通知各相关部门进行处理。</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针对检查中发现的问题，跟踪监督落实整改。</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一章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snapToGrid w:val="0"/>
              </w:rPr>
              <w:t>4.</w:t>
            </w:r>
            <w:r>
              <w:rPr>
                <w:rFonts w:ascii="仿宋_GB2312" w:hAnsi="仿宋_GB2312" w:eastAsia="仿宋_GB2312" w:cs="仿宋_GB2312"/>
              </w:rPr>
              <w:t>.</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23</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工程建设强制性标准实施情况监督检查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中华人民共和国标准化法》（1988年12月29日主席令第11号）第五条：省、自治区、直辖市标准化行政主管部门统一管理本行政区域的标准化工作。省、自治区、直辖市政府有关行政主管部门分工管理本行政区域内本部门、本行业的标准化工作。第七条 国家标准、行业标准分为强制性标准和推荐性标准。保障人体健康，人身、财产安全的标准和法律、行政法规规定强制执行的标准是强制性标准，其他标准是推荐性标准。第十四条 强制性标准，必须执行。</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作出予以责令整改、停工整改、立案查处、记入诚信档案等相应处理措施并向社会公布检查处理结果。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强化工程建设强制性标准实施情况的监管；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 【规章】《建筑工程施工发包与承包计价管理办法》（2013年12月11日建设部令第16号）第二十一条第（三）款：要求改正违反有关法律、法规、本办法或者工程建设强制性标准的行为。县级以上地方人民政府住房城乡建设主管部门应当将监督检查的处理结果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shd w:val="clear" w:color="auto" w:fill="auto"/>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24</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对城市房屋白蚁防治监督检查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各市、县房地产行政主管部门负责辖区内房屋白蚁防治监督和管理工作，其主要职责是：（一）贯彻执行国家有关城市房屋白蚁防治的法律、法规和规章；（二）对白蚁防治单位的执业情况进行监督、检查及管理；（三）开展白蚁防治的科学研究，宣传白蚁防治知识，推广新技术、新工艺、新设备；（四）负责组织白蚁防治人员进行技术培训和继续再教育培训；（五）对违反白蚁防治管理法律、法规和规章的行为组织查处；（六）实施其他白蚁防治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依法进行实地检查、鉴定、询问。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b/>
                <w:bCs/>
              </w:rPr>
              <w:t>.督促整改责任：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检查结束后应按规定通报结果；依据相关法律法规对违反白蚁防治管理法律、法规和规章的行为组织查处。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5.监管责任：</w:t>
            </w:r>
            <w:r>
              <w:rPr>
                <w:rFonts w:hint="eastAsia" w:ascii="仿宋_GB2312" w:hAnsi="仿宋_GB2312" w:eastAsia="仿宋_GB2312" w:cs="仿宋_GB2312"/>
              </w:rPr>
              <w:t>强化对城市房屋白蚁防治的监管。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  《城市房屋白蚁防治管理规定》（1999年10月15日建设部令第72号公布，根据2004年7月20日建设部令第130号《建设部关于修改〈城市房屋白蚁防治管理规定〉的决定》修正）第十三条：违反本规定第六条的规定，从事白蚁防治业务的，由房屋所在地的县级以上地方人民政府房地产行政主管部门责令改正，并可处以1万元以上3万元以下的罚款。第十四条：白蚁防治单位违反本规定第九条规定的，并处以1万元以上3万元以下的罚款。第十五条：白蚁防治单位违反本规定第十条的规定，使用不合格药物的，由房屋所在地的县级以上人民政府房地产行政主管部门责令限期改正，并处以3万元的罚款。第十六条：房地产开发企业违反本规定第十一条第一款的规定，并处以2万元以上3万元以下的罚款。建设单位未按照本规定进行白蚁预防的，并处以1万元以上3万元以下的罚款。第十七条：房屋所有人、使用人或者房屋管理单位违反本规定第十二条规定的，房屋所在地的县级以上地方人民政府房地产行政主管部门，可以对责任人处以1000元的罚款。</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4.同3。</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tc>
        <w:tc>
          <w:tcPr>
            <w:tcW w:w="1515" w:type="dxa"/>
            <w:shd w:val="clear" w:color="auto" w:fill="auto"/>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25</w:t>
            </w:r>
          </w:p>
        </w:tc>
        <w:tc>
          <w:tcPr>
            <w:tcW w:w="735" w:type="dxa"/>
            <w:vAlign w:val="center"/>
          </w:tcPr>
          <w:p>
            <w:pPr>
              <w:adjustRightInd w:val="0"/>
              <w:snapToGrid w:val="0"/>
              <w:spacing w:line="280" w:lineRule="exact"/>
              <w:jc w:val="both"/>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公共租赁住房申请审核确认资格登记</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ascii="仿宋_GB2312" w:hAnsi="仿宋_GB2312" w:eastAsia="仿宋_GB2312" w:cs="仿宋_GB2312"/>
              </w:rPr>
              <w:t>15</w:t>
            </w:r>
            <w:r>
              <w:rPr>
                <w:rFonts w:hint="eastAsia" w:ascii="仿宋_GB2312" w:hAnsi="仿宋_GB2312" w:eastAsia="仿宋_GB2312" w:cs="仿宋_GB2312"/>
              </w:rPr>
              <w:t>个工作日内将复核结果书面告知申请人。</w:t>
            </w:r>
          </w:p>
        </w:tc>
        <w:tc>
          <w:tcPr>
            <w:tcW w:w="297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公示依法应当提交的材料；一次性告知补正材料；依法受理或不予受理（不予受理的应当告知理由）。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审查阶段责任：</w:t>
            </w:r>
            <w:r>
              <w:rPr>
                <w:rFonts w:hint="eastAsia" w:ascii="仿宋_GB2312" w:hAnsi="仿宋_GB2312" w:eastAsia="仿宋_GB2312" w:cs="仿宋_GB2312"/>
              </w:rPr>
              <w:t>审查材料，会同有关部门，对申请人提交的申请材料进行审核。；。</w:t>
            </w:r>
          </w:p>
          <w:p>
            <w:pPr>
              <w:numPr>
                <w:ilvl w:val="0"/>
                <w:numId w:val="5"/>
              </w:num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对符合申请条件的申请人，应当予以公示，经公示无异议或者异议不成立的，登记为公共租赁住房轮候对象，并向社会公开对不符合申请条件的申请人，应当书面通知并说明理由。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spacing w:line="240" w:lineRule="exact"/>
              <w:rPr>
                <w:rFonts w:ascii="仿宋_GB2312" w:hAnsi="仿宋_GB2312" w:eastAsia="仿宋_GB2312" w:cs="仿宋_GB2312"/>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15个工作日内将复核结果书面告知申请人。</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5.同1</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6.其他法律法规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不履行或不正确履行公共租赁住房申请审核资格登记权力，造成不良后果的。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26</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经济适用住房申请审核确认资格登记</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申购的家庭按上述规定向经济适用住房受理部门提出申请，如实填写《柳州市居民购买经济适用住房申请表》，并提交相关材料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经适房主管部门根据申请家庭交报的材料完成对家庭人口、住房面积、家庭收入等情况进行审核。符合购买条件的，在市住房和城乡建设委网站进行公示</w:t>
            </w:r>
          </w:p>
          <w:p>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对符合申请条件的申请人，应当予以公示，经公示无异议或者异议不成立的，登记为经济适用住房轮候对象，并向社会公开。对不符合申请条件的申请人，应当书面通知并说明理由。</w:t>
            </w:r>
          </w:p>
          <w:p>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p>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不履行或不正确履行经济适用住房申请审核确认资格登记权力，造成不良后果的。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5.【规范性文件】《柳州市经济适用住房管理办法》（2012年柳政发[2012]56号）</w:t>
            </w:r>
          </w:p>
          <w:p>
            <w:pPr>
              <w:spacing w:line="240" w:lineRule="exact"/>
              <w:rPr>
                <w:rFonts w:ascii="仿宋_GB2312" w:hAnsi="仿宋_GB2312" w:eastAsia="仿宋_GB2312" w:cs="仿宋_GB2312"/>
              </w:rPr>
            </w:pPr>
            <w:r>
              <w:rPr>
                <w:rFonts w:hint="eastAsia" w:ascii="仿宋_GB2312" w:hAnsi="仿宋_GB2312" w:eastAsia="仿宋_GB2312" w:cs="仿宋_GB2312"/>
              </w:rPr>
              <w:t>第四十九条  国家机关工作人员在经济适用住房建设、管理过程中滥用职权、玩忽职守、徇私舞弊的，依法依纪追究责任；涉嫌犯罪的，移送司法机关处理。</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27</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施工图设计文件审查机构入柳开展业务资格认定</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tc>
        <w:tc>
          <w:tcPr>
            <w:tcW w:w="2970" w:type="dxa"/>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：通过决定</w:t>
            </w:r>
            <w:r>
              <w:rPr>
                <w:rFonts w:hint="eastAsia" w:ascii="仿宋_GB2312" w:hAnsi="仿宋_GB2312" w:eastAsia="仿宋_GB2312" w:cs="仿宋_GB2312"/>
              </w:rPr>
              <w:t>其入柳资格</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w:t>
            </w:r>
            <w:r>
              <w:rPr>
                <w:rFonts w:hint="eastAsia" w:ascii="仿宋_GB2312" w:hAnsi="仿宋_GB2312" w:eastAsia="仿宋_GB2312" w:cs="仿宋_GB2312"/>
              </w:rPr>
              <w:t>制发相关证明</w:t>
            </w:r>
            <w:r>
              <w:rPr>
                <w:rFonts w:ascii="仿宋_GB2312" w:hAnsi="仿宋_GB2312" w:eastAsia="仿宋_GB2312" w:cs="仿宋_GB2312"/>
              </w:rPr>
              <w:t>；信息公开；</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p>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28</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勘察设计招标投标评标专家认定</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评标专家和评标专家库管理暂行办法》（2003年原国家计委29号令，2013年23号令修改）第三条：评标专家库由省级（含，下同）以上人民政府有关部门或者依法成立的招标代理机构依照《招标投标法》、《招标投标法实施条例》以及国家统一的评标专家专业分类标准和管理办法的规定自主组建。</w:t>
            </w:r>
          </w:p>
          <w:p>
            <w:pPr>
              <w:spacing w:line="240" w:lineRule="atLeast"/>
              <w:rPr>
                <w:rFonts w:ascii="仿宋_GB2312" w:hAnsi="仿宋_GB2312" w:eastAsia="仿宋_GB2312" w:cs="仿宋_GB2312"/>
              </w:rPr>
            </w:pPr>
            <w:r>
              <w:rPr>
                <w:rFonts w:hint="eastAsia" w:ascii="仿宋_GB2312" w:hAnsi="仿宋_GB2312" w:eastAsia="仿宋_GB2312" w:cs="仿宋_GB2312"/>
              </w:rPr>
              <w:t>第十条：组建评标专家库的省级人民政府、政府部门或者招标代理机构，应当对申请人或被推荐人进行评审，决定是否接受申请或者推荐，并向符合本办法第七条规定条件的申请人或被推荐人颁发评标专家证书。</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2.【规章】《广西壮族自治区建设工程招标投标评标专家和评标专家库管理办法》（桂建管〔2011〕22号）第四条 全区各设区城市建设行政主管部门应当组建评标专家库。有条件的市（县）和招标代理机构也可以组建评标专家库。 </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：通过考试决定。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：制发广西壮族自治区建设工程评标专家证书；信息公开；</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1.【规章】《评标专家和评标专家库管理暂行办法》（2003年原国家计委29号令公布，2013年国家发展改革委等9部委23号令第1次修改）第九条　专家入选评标专家库，采取个人申请和单位推荐两种方式。采取单位推荐方式的，应事先征得被推荐人同意。</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组建评标专家库的省级人民政府、政府部门或者招标代理机构，应当对申请人或被推荐人进行评审，决定是否接受申请或者推荐，并向符合本办法第七条规定条件的申请人或被推荐人颁发评标专家证书。</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第十五条　评标专家有下列情形之一的，由有关行政监督部门责令改正；情节严重的，禁止其在一定期限内参加依法必须进行招标的项目的评标；情节特别严重的，取消其担任评标委员会成员的资格</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第十六条　组建评标专家库的政府部门或者招标代理机构有下列情形之一的，由有关行政监督部门给予警告；情节严重的，暂停直至取消招标代理机构相应的招标代理资格</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.【规范性文件】《广西壮族自治区建设工程招标投标评标专家和评标专家库管理办法》（2011年广西壮族自治区住房和城乡建设厅桂建管〔2011〕22号公布）第八条 组建评标专家库的各级建设行政主管部门或者招标代理机构应当对申请人或被推荐人的条件进行资格审查，并将符合本办法规定条件的申请人或者被推荐人名单上报自治区建设行政主管部门审核。合格的候任评标专家必须经过自治区建设行政主管部门组织的招</w:t>
            </w:r>
            <w:r>
              <w:rPr>
                <w:rFonts w:hint="eastAsia" w:ascii="仿宋_GB2312" w:hAnsi="仿宋_GB2312" w:eastAsia="仿宋_GB2312" w:cs="仿宋_GB2312"/>
                <w:lang w:val="en-US" w:eastAsia="zh-CN"/>
              </w:rPr>
              <w:t>标</w:t>
            </w:r>
            <w:r>
              <w:rPr>
                <w:rFonts w:ascii="仿宋_GB2312" w:hAnsi="仿宋_GB2312" w:eastAsia="仿宋_GB2312" w:cs="仿宋_GB2312"/>
              </w:rPr>
              <w:t>投标法律法规、规章、评标业务知识和廉政教育及职业操守等培训合格后，由自治区建设行政主管部门颁发《岗位培训合格证书》、《评标专家证书》和个人专用图章。</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组建评标专家库的各级建设行政主管部门和招标代理机构负责评标专家的继续教育和考核评价工作。评标专家的继续教育至少每两年集中进行一次，考核评价工作实行年度考核评价制。</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29</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建筑市场主体诚信信息确认</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宋体" w:hAnsi="宋体" w:cs="宋体"/>
                <w:sz w:val="21"/>
                <w:szCs w:val="21"/>
              </w:rPr>
            </w:pPr>
            <w:r>
              <w:rPr>
                <w:rFonts w:hint="eastAsia" w:ascii="宋体" w:hAnsi="宋体" w:cs="宋体"/>
                <w:sz w:val="21"/>
                <w:szCs w:val="21"/>
              </w:rPr>
              <w:t>1.</w:t>
            </w:r>
            <w:r>
              <w:rPr>
                <w:rFonts w:hint="eastAsia" w:ascii="仿宋_GB2312" w:hAnsi="仿宋_GB2312" w:eastAsia="仿宋_GB2312" w:cs="仿宋_GB2312"/>
              </w:rPr>
              <w:t>【规章】</w:t>
            </w:r>
            <w:r>
              <w:rPr>
                <w:rFonts w:hint="eastAsia" w:ascii="宋体" w:hAnsi="宋体" w:cs="宋体"/>
                <w:sz w:val="21"/>
                <w:szCs w:val="21"/>
              </w:rPr>
              <w:t>《建筑业企业资质管理规定》（2015年住房和城乡建设部令第22号）第三十二条 资质许可机关应当建立、健全建筑业企业信用档案管理制度。建筑业企业信用档案应当包括企业基本情况、资质、业绩、工程质量和安全、合同履约、社会投诉和违法行为等情况。企业的信用档案信息按照有关规定向社会公开。取得建筑业企业资质的企业应当按照有关规定，向资质许可机关提供真实、准确、完整的企业信用档案信息。</w:t>
            </w:r>
          </w:p>
          <w:p>
            <w:pPr>
              <w:spacing w:line="240" w:lineRule="exact"/>
              <w:ind w:firstLine="420" w:firstLineChars="200"/>
              <w:rPr>
                <w:rFonts w:ascii="宋体" w:hAnsi="宋体" w:cs="宋体"/>
                <w:sz w:val="21"/>
                <w:szCs w:val="21"/>
              </w:rPr>
            </w:pPr>
            <w:r>
              <w:rPr>
                <w:rFonts w:hint="eastAsia" w:ascii="宋体" w:hAnsi="宋体" w:cs="宋体"/>
                <w:sz w:val="21"/>
                <w:szCs w:val="21"/>
              </w:rPr>
              <w:t>第四条　国务院住房城乡建设主管部门负责全国建筑业企业资质的统一监督管理。国务院交通运输、水利、工业信息化等有关部门配合国务院住房城乡建设主管部门实施相关资质类别建筑业企业资质的管理工作。</w:t>
            </w:r>
          </w:p>
          <w:p>
            <w:pPr>
              <w:spacing w:line="240" w:lineRule="exact"/>
              <w:ind w:firstLine="420" w:firstLineChars="200"/>
              <w:rPr>
                <w:rFonts w:ascii="宋体" w:hAnsi="宋体" w:cs="宋体"/>
                <w:sz w:val="21"/>
                <w:szCs w:val="21"/>
              </w:rPr>
            </w:pPr>
            <w:r>
              <w:rPr>
                <w:rFonts w:hint="eastAsia" w:ascii="宋体" w:hAnsi="宋体" w:cs="宋体"/>
                <w:sz w:val="21"/>
                <w:szCs w:val="21"/>
              </w:rPr>
              <w:t>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pPr>
              <w:spacing w:line="240" w:lineRule="exact"/>
              <w:ind w:firstLine="420" w:firstLineChars="200"/>
              <w:rPr>
                <w:rFonts w:ascii="宋体" w:hAnsi="宋体" w:cs="宋体"/>
                <w:sz w:val="21"/>
                <w:szCs w:val="21"/>
              </w:rPr>
            </w:pPr>
            <w:r>
              <w:rPr>
                <w:rFonts w:hint="eastAsia" w:ascii="宋体" w:hAnsi="宋体" w:cs="宋体"/>
                <w:sz w:val="21"/>
                <w:szCs w:val="21"/>
              </w:rPr>
              <w:t>2.</w:t>
            </w:r>
            <w:r>
              <w:rPr>
                <w:rFonts w:hint="eastAsia" w:ascii="仿宋_GB2312" w:hAnsi="仿宋_GB2312" w:eastAsia="仿宋_GB2312" w:cs="仿宋_GB2312"/>
              </w:rPr>
              <w:t>【规章】</w:t>
            </w:r>
            <w:r>
              <w:rPr>
                <w:rFonts w:hint="eastAsia" w:ascii="宋体" w:hAnsi="宋体" w:cs="宋体"/>
                <w:sz w:val="21"/>
                <w:szCs w:val="21"/>
              </w:rPr>
              <w:t>《电子招标投标办法》（2013年国家发展改革委等八部委第20号令）第三条 电子招标投标系统根据功能的不同，分为交易平台、公共服务平台和行政监督平台。交易平台是以数据电文形式完成招标投标交易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pPr>
              <w:spacing w:line="240" w:lineRule="exact"/>
              <w:ind w:firstLine="420" w:firstLineChars="200"/>
              <w:rPr>
                <w:rFonts w:ascii="宋体" w:hAnsi="宋体" w:cs="宋体"/>
                <w:sz w:val="21"/>
                <w:szCs w:val="21"/>
              </w:rPr>
            </w:pPr>
            <w:r>
              <w:rPr>
                <w:rFonts w:hint="eastAsia" w:ascii="宋体" w:hAnsi="宋体" w:cs="宋体"/>
                <w:sz w:val="21"/>
                <w:szCs w:val="21"/>
              </w:rPr>
              <w:t>第四十三条 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pPr>
              <w:spacing w:line="240" w:lineRule="exact"/>
              <w:ind w:firstLine="420" w:firstLineChars="200"/>
              <w:rPr>
                <w:rFonts w:ascii="宋体" w:hAnsi="宋体" w:cs="宋体"/>
                <w:sz w:val="21"/>
                <w:szCs w:val="21"/>
              </w:rPr>
            </w:pPr>
            <w:r>
              <w:rPr>
                <w:rFonts w:hint="eastAsia" w:ascii="宋体" w:hAnsi="宋体" w:cs="宋体"/>
                <w:sz w:val="21"/>
                <w:szCs w:val="21"/>
              </w:rPr>
              <w:t xml:space="preserve">3. </w:t>
            </w:r>
            <w:r>
              <w:rPr>
                <w:rFonts w:hint="eastAsia" w:ascii="仿宋_GB2312" w:hAnsi="仿宋_GB2312" w:eastAsia="仿宋_GB2312" w:cs="仿宋_GB2312"/>
              </w:rPr>
              <w:t>【规章】</w:t>
            </w:r>
            <w:r>
              <w:rPr>
                <w:rFonts w:hint="eastAsia" w:ascii="宋体" w:hAnsi="宋体" w:cs="宋体"/>
                <w:sz w:val="21"/>
                <w:szCs w:val="21"/>
              </w:rPr>
              <w:t>《广西壮族自治区建筑市场诚信卡管理暂行办法》（桂建管[2013]17号）第二条  在我区境内从事房屋建筑和市政基础设施工程招标投标活动和承发包活动的评标专家，以及施工企业、监理企业和招标代理机构、工程质量检测机构（以下简称“建筑业企业”）参与招标投标活动和承发包活动的人员（以下简称‚招标投标人员‛），须通过广西“建筑业企业诚信信息库（以下简称‘诚信库’）管理系统”登录相关诚信信息，办理诚信卡，作为招标投标活动和承发包活动的电子身份识别证件。诚信卡主要记载持卡人的基本信息、相关业绩及违法、违规行为等内容。</w:t>
            </w:r>
          </w:p>
          <w:p>
            <w:pPr>
              <w:spacing w:line="240" w:lineRule="exact"/>
              <w:rPr>
                <w:rFonts w:ascii="仿宋_GB2312" w:hAnsi="仿宋_GB2312" w:eastAsia="仿宋_GB2312" w:cs="仿宋_GB2312"/>
                <w:snapToGrid w:val="0"/>
                <w:color w:val="000000"/>
              </w:rPr>
            </w:pPr>
            <w:r>
              <w:rPr>
                <w:rFonts w:hint="eastAsia" w:ascii="宋体" w:hAnsi="宋体" w:cs="宋体"/>
                <w:sz w:val="21"/>
                <w:szCs w:val="21"/>
              </w:rPr>
              <w:t>第五条  诚信库由广西住房和城乡建设厅负责组织建立，并与诚信卡实现联接。评标专家、区外入桂建筑业企业招标投标人员诚信卡由广西住房和城乡建设厅负责管理，组织信息审核、制作和发放。区内建筑业企业招标投标人员诚信卡，由其工商登记注册地所属设区市住房和城乡建设主管部门或其指定部门负责审核和发放。</w:t>
            </w:r>
          </w:p>
        </w:tc>
        <w:tc>
          <w:tcPr>
            <w:tcW w:w="2970" w:type="dxa"/>
            <w:vAlign w:val="center"/>
          </w:tcPr>
          <w:p>
            <w:pPr>
              <w:spacing w:line="400" w:lineRule="exact"/>
              <w:ind w:firstLine="420" w:firstLineChars="200"/>
              <w:rPr>
                <w:rFonts w:ascii="宋体" w:hAnsi="宋体" w:cs="宋体"/>
                <w:sz w:val="21"/>
                <w:szCs w:val="21"/>
              </w:rPr>
            </w:pPr>
            <w:r>
              <w:rPr>
                <w:rFonts w:hint="eastAsia" w:ascii="宋体" w:hAnsi="宋体" w:cs="宋体"/>
                <w:sz w:val="21"/>
                <w:szCs w:val="21"/>
              </w:rPr>
              <w:t>1.受理阶段责任：一次性告知补正材料，依法受理或不予受理（不予受理的应当告知理由）。</w:t>
            </w:r>
          </w:p>
          <w:p>
            <w:pPr>
              <w:spacing w:line="400" w:lineRule="exact"/>
              <w:ind w:firstLine="420" w:firstLineChars="200"/>
              <w:rPr>
                <w:rFonts w:ascii="宋体" w:hAnsi="宋体" w:cs="宋体"/>
                <w:sz w:val="21"/>
                <w:szCs w:val="21"/>
              </w:rPr>
            </w:pPr>
            <w:r>
              <w:rPr>
                <w:rFonts w:hint="eastAsia" w:ascii="宋体" w:hAnsi="宋体" w:cs="宋体"/>
                <w:sz w:val="21"/>
                <w:szCs w:val="21"/>
              </w:rPr>
              <w:t>2.审查阶段责任：对申请材料进行审查；提出审查意见。</w:t>
            </w:r>
          </w:p>
          <w:p>
            <w:pPr>
              <w:spacing w:line="400" w:lineRule="exact"/>
              <w:ind w:firstLine="420" w:firstLineChars="200"/>
              <w:rPr>
                <w:rFonts w:ascii="宋体" w:hAnsi="宋体" w:cs="宋体"/>
                <w:sz w:val="21"/>
                <w:szCs w:val="21"/>
              </w:rPr>
            </w:pPr>
            <w:r>
              <w:rPr>
                <w:rFonts w:hint="eastAsia" w:ascii="宋体" w:hAnsi="宋体" w:cs="宋体"/>
                <w:sz w:val="21"/>
                <w:szCs w:val="21"/>
              </w:rPr>
              <w:t>3.决定阶段责任：对申请材料进行审核，决定是否通过。</w:t>
            </w:r>
          </w:p>
          <w:p>
            <w:pPr>
              <w:spacing w:line="400" w:lineRule="exact"/>
              <w:ind w:firstLine="420" w:firstLineChars="200"/>
              <w:rPr>
                <w:rFonts w:ascii="宋体" w:hAnsi="宋体" w:cs="宋体"/>
                <w:sz w:val="21"/>
                <w:szCs w:val="21"/>
              </w:rPr>
            </w:pPr>
            <w:r>
              <w:rPr>
                <w:rFonts w:hint="eastAsia" w:ascii="宋体" w:hAnsi="宋体" w:cs="宋体"/>
                <w:sz w:val="21"/>
                <w:szCs w:val="21"/>
              </w:rPr>
              <w:t>4.送达阶段责任：通过系统反馈审核是否通过；信息公开；</w:t>
            </w:r>
          </w:p>
          <w:p>
            <w:pPr>
              <w:spacing w:line="400" w:lineRule="exact"/>
              <w:ind w:firstLine="420" w:firstLineChars="200"/>
              <w:rPr>
                <w:rFonts w:ascii="宋体" w:hAnsi="宋体" w:cs="宋体"/>
                <w:sz w:val="21"/>
                <w:szCs w:val="21"/>
              </w:rPr>
            </w:pPr>
            <w:r>
              <w:rPr>
                <w:rFonts w:hint="eastAsia" w:ascii="宋体" w:hAnsi="宋体" w:cs="宋体"/>
                <w:sz w:val="21"/>
                <w:szCs w:val="21"/>
              </w:rPr>
              <w:t>5.事后监管责任：加强市场行为及工程质量安全情况的监管。</w:t>
            </w:r>
          </w:p>
          <w:p>
            <w:pPr>
              <w:adjustRightInd w:val="0"/>
              <w:snapToGrid w:val="0"/>
              <w:spacing w:line="240" w:lineRule="atLeast"/>
              <w:ind w:firstLine="420" w:firstLineChars="200"/>
              <w:rPr>
                <w:rFonts w:ascii="仿宋_GB2312" w:hAnsi="仿宋_GB2312" w:eastAsia="仿宋_GB2312" w:cs="仿宋_GB2312"/>
                <w:snapToGrid w:val="0"/>
                <w:color w:val="000000"/>
              </w:rPr>
            </w:pPr>
            <w:r>
              <w:rPr>
                <w:rFonts w:hint="eastAsia" w:ascii="宋体" w:hAnsi="宋体" w:cs="宋体"/>
                <w:sz w:val="21"/>
                <w:szCs w:val="21"/>
              </w:rPr>
              <w:t>6.法律法规规定的其他责任</w:t>
            </w:r>
          </w:p>
        </w:tc>
        <w:tc>
          <w:tcPr>
            <w:tcW w:w="4950" w:type="dxa"/>
            <w:vAlign w:val="center"/>
          </w:tcPr>
          <w:p>
            <w:pPr>
              <w:adjustRightInd w:val="0"/>
              <w:snapToGrid w:val="0"/>
              <w:spacing w:line="240" w:lineRule="atLeast"/>
              <w:ind w:firstLine="400" w:firstLineChars="200"/>
              <w:rPr>
                <w:rFonts w:ascii="宋体" w:hAnsi="宋体" w:cs="宋体"/>
                <w:sz w:val="21"/>
                <w:szCs w:val="21"/>
              </w:rPr>
            </w:pPr>
            <w:r>
              <w:rPr>
                <w:rFonts w:hint="eastAsia" w:ascii="仿宋_GB2312" w:hAnsi="仿宋_GB2312" w:eastAsia="仿宋_GB2312" w:cs="仿宋_GB2312"/>
              </w:rPr>
              <w:t>1.【规章】</w:t>
            </w:r>
            <w:r>
              <w:rPr>
                <w:rFonts w:hint="eastAsia" w:ascii="宋体" w:hAnsi="宋体" w:cs="宋体"/>
                <w:sz w:val="21"/>
                <w:szCs w:val="21"/>
              </w:rPr>
              <w:t>《广西壮族自治区建筑市场诚信卡管理暂行办法》（桂建管[2013]17号）</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2.同上</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3.同上</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4.同上</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5.同上</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6.其他法律法规</w:t>
            </w:r>
          </w:p>
        </w:tc>
        <w:tc>
          <w:tcPr>
            <w:tcW w:w="1515" w:type="dxa"/>
          </w:tcPr>
          <w:p>
            <w:pPr>
              <w:spacing w:line="400" w:lineRule="exact"/>
              <w:ind w:firstLine="420" w:firstLineChars="200"/>
              <w:rPr>
                <w:rFonts w:ascii="宋体" w:hAnsi="宋体" w:cs="宋体"/>
                <w:sz w:val="21"/>
                <w:szCs w:val="21"/>
              </w:rPr>
            </w:pPr>
            <w:r>
              <w:rPr>
                <w:rFonts w:hint="eastAsia" w:ascii="宋体" w:hAnsi="宋体" w:cs="宋体"/>
                <w:sz w:val="21"/>
                <w:szCs w:val="21"/>
              </w:rPr>
              <w:t>因不履行或不正确履行行政职责，有下列情形的行政机关及相关工作人员应承担相应的责任：</w:t>
            </w:r>
          </w:p>
          <w:p>
            <w:pPr>
              <w:spacing w:line="400" w:lineRule="exact"/>
              <w:ind w:firstLine="420" w:firstLineChars="200"/>
              <w:rPr>
                <w:rFonts w:ascii="宋体" w:hAnsi="宋体" w:cs="宋体"/>
                <w:sz w:val="21"/>
                <w:szCs w:val="21"/>
              </w:rPr>
            </w:pPr>
            <w:r>
              <w:rPr>
                <w:rFonts w:hint="eastAsia" w:ascii="宋体" w:hAnsi="宋体" w:cs="宋体"/>
                <w:sz w:val="21"/>
                <w:szCs w:val="21"/>
              </w:rPr>
              <w:t>1. 故意刁难申请人；</w:t>
            </w:r>
          </w:p>
          <w:p>
            <w:pPr>
              <w:spacing w:line="400" w:lineRule="exact"/>
              <w:ind w:firstLine="420" w:firstLineChars="200"/>
              <w:rPr>
                <w:rFonts w:ascii="宋体" w:hAnsi="宋体" w:cs="宋体"/>
                <w:sz w:val="21"/>
                <w:szCs w:val="21"/>
              </w:rPr>
            </w:pPr>
            <w:r>
              <w:rPr>
                <w:rFonts w:hint="eastAsia" w:ascii="宋体" w:hAnsi="宋体" w:cs="宋体"/>
                <w:sz w:val="21"/>
                <w:szCs w:val="21"/>
              </w:rPr>
              <w:t>2. 无故超期办理；</w:t>
            </w:r>
          </w:p>
          <w:p>
            <w:pPr>
              <w:spacing w:line="400" w:lineRule="exact"/>
              <w:ind w:firstLine="420" w:firstLineChars="200"/>
              <w:rPr>
                <w:rFonts w:ascii="宋体" w:hAnsi="宋体" w:cs="宋体"/>
                <w:sz w:val="21"/>
                <w:szCs w:val="21"/>
              </w:rPr>
            </w:pPr>
            <w:r>
              <w:rPr>
                <w:rFonts w:hint="eastAsia" w:ascii="宋体" w:hAnsi="宋体" w:cs="宋体"/>
                <w:sz w:val="21"/>
                <w:szCs w:val="21"/>
              </w:rPr>
              <w:t>3. 故意让虚假资料通过；</w:t>
            </w:r>
          </w:p>
          <w:p>
            <w:pPr>
              <w:adjustRightInd w:val="0"/>
              <w:snapToGrid w:val="0"/>
              <w:spacing w:line="320" w:lineRule="exact"/>
              <w:rPr>
                <w:rFonts w:ascii="仿宋_GB2312" w:hAnsi="仿宋_GB2312" w:eastAsia="仿宋_GB2312" w:cs="仿宋_GB2312"/>
                <w:snapToGrid w:val="0"/>
                <w:color w:val="000000"/>
              </w:rPr>
            </w:pPr>
            <w:r>
              <w:rPr>
                <w:rFonts w:hint="eastAsia" w:ascii="宋体" w:hAnsi="宋体" w:cs="宋体"/>
                <w:sz w:val="21"/>
                <w:szCs w:val="21"/>
              </w:rPr>
              <w:t>4. 其他违反法律法规规定的行为。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30</w:t>
            </w:r>
          </w:p>
        </w:tc>
        <w:tc>
          <w:tcPr>
            <w:tcW w:w="735" w:type="dxa"/>
            <w:shd w:val="clear" w:color="auto" w:fill="auto"/>
            <w:vAlign w:val="center"/>
          </w:tcPr>
          <w:p>
            <w:pPr>
              <w:adjustRightInd w:val="0"/>
              <w:snapToGrid w:val="0"/>
              <w:spacing w:line="290" w:lineRule="exact"/>
              <w:rPr>
                <w:rFonts w:ascii="仿宋_GB2312" w:hAnsi="仿宋_GB2312" w:eastAsia="仿宋_GB2312" w:cs="仿宋_GB2312"/>
              </w:rPr>
            </w:pPr>
            <w:r>
              <w:rPr>
                <w:rFonts w:hint="eastAsia" w:ascii="仿宋_GB2312" w:hAnsi="仿宋_GB2312" w:eastAsia="仿宋_GB2312" w:cs="仿宋_GB2312"/>
                <w:snapToGrid w:val="0"/>
              </w:rPr>
              <w:t>行政奖励</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建筑施工安全文明标准化工地评审</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【法律】《中华人民共和国安全生产法》（2014年主席令第十三号 </w:t>
            </w:r>
            <w:r>
              <w:rPr>
                <w:rFonts w:ascii="仿宋_GB2312" w:hAnsi="仿宋_GB2312" w:eastAsia="仿宋_GB2312" w:cs="仿宋_GB2312"/>
              </w:rPr>
              <w:t>2002年6月29日通过公布，自2002年11月1日起施行</w:t>
            </w:r>
            <w:r>
              <w:rPr>
                <w:rFonts w:hint="eastAsia" w:ascii="仿宋_GB2312" w:hAnsi="仿宋_GB2312" w:eastAsia="仿宋_GB2312" w:cs="仿宋_GB2312"/>
              </w:rPr>
              <w:t>）第十六条：国家对在改善安全生产条件、防止生产安全事故、参加抢险救护等方面取得显著成绩的单位和个人，给予奖励。</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 指导监督责任：</w:t>
            </w:r>
            <w:r>
              <w:rPr>
                <w:rFonts w:hint="eastAsia" w:ascii="仿宋_GB2312" w:hAnsi="仿宋_GB2312" w:eastAsia="仿宋_GB2312" w:cs="仿宋_GB2312"/>
              </w:rPr>
              <w:t>对柳州市工程建设质量安全管理协会具体实施的评选工作进行指导监督。</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2.其他责任：</w:t>
            </w:r>
            <w:r>
              <w:rPr>
                <w:rFonts w:hint="eastAsia" w:ascii="仿宋_GB2312" w:hAnsi="仿宋_GB2312" w:eastAsia="仿宋_GB2312" w:cs="仿宋_GB2312"/>
              </w:rPr>
              <w:t>法律法规规定的其他责任。</w:t>
            </w:r>
          </w:p>
        </w:tc>
        <w:tc>
          <w:tcPr>
            <w:tcW w:w="4950" w:type="dxa"/>
            <w:shd w:val="clear" w:color="auto" w:fill="auto"/>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 【规范性文件】《关于发布新修订《广西壮族自治区建设工程施工安全文明标准化工地评选办法》的通知》（桂建质安协[2016]46号）第五条  安全文明工地评选活动由自治区住房和城乡建设厅负责指导，广西工程建设质量安全管理协会（以下简称广西质安协会）组织实施。</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0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0"/>
        <w:gridCol w:w="713"/>
        <w:gridCol w:w="683"/>
        <w:gridCol w:w="469"/>
        <w:gridCol w:w="3192"/>
        <w:gridCol w:w="2877"/>
        <w:gridCol w:w="4795"/>
        <w:gridCol w:w="1469"/>
        <w:gridCol w:w="4706"/>
        <w:gridCol w:w="953"/>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6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1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68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19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87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7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4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0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5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8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60"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31</w:t>
            </w:r>
          </w:p>
        </w:tc>
        <w:tc>
          <w:tcPr>
            <w:tcW w:w="713" w:type="dxa"/>
            <w:shd w:val="clear" w:color="auto" w:fill="auto"/>
            <w:vAlign w:val="center"/>
          </w:tcPr>
          <w:p>
            <w:pPr>
              <w:adjustRightInd w:val="0"/>
              <w:snapToGrid w:val="0"/>
              <w:spacing w:line="272" w:lineRule="exact"/>
              <w:jc w:val="center"/>
              <w:rPr>
                <w:rFonts w:ascii="仿宋_GB2312" w:hAnsi="仿宋_GB2312" w:eastAsia="仿宋_GB2312" w:cs="仿宋_GB2312"/>
              </w:rPr>
            </w:pPr>
            <w:r>
              <w:rPr>
                <w:rFonts w:hint="eastAsia" w:ascii="仿宋_GB2312" w:hAnsi="仿宋_GB2312" w:eastAsia="仿宋_GB2312" w:cs="仿宋_GB2312"/>
              </w:rPr>
              <w:t>行政奖励</w:t>
            </w:r>
          </w:p>
        </w:tc>
        <w:tc>
          <w:tcPr>
            <w:tcW w:w="683" w:type="dxa"/>
            <w:shd w:val="clear" w:color="auto" w:fill="auto"/>
            <w:vAlign w:val="center"/>
          </w:tcPr>
          <w:p>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rPr>
              <w:t>柳州市优质工程奖评审</w:t>
            </w:r>
          </w:p>
        </w:tc>
        <w:tc>
          <w:tcPr>
            <w:tcW w:w="469" w:type="dxa"/>
            <w:shd w:val="clear" w:color="auto" w:fill="auto"/>
            <w:vAlign w:val="center"/>
          </w:tcPr>
          <w:p>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192" w:type="dxa"/>
            <w:shd w:val="clear" w:color="auto" w:fill="auto"/>
            <w:vAlign w:val="center"/>
          </w:tcPr>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1.【规范性文件】《广西壮族自治区人民政府关于实施质量强桂战略的决定》（2016年10月17日桂政发〔2016〕50号）</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2.【规范性文件】《柳州市人民政府关于实施质量强市战略的决定》（ 2012年04月24日柳政发[2012]31号）</w:t>
            </w:r>
          </w:p>
        </w:tc>
        <w:tc>
          <w:tcPr>
            <w:tcW w:w="2877" w:type="dxa"/>
            <w:shd w:val="clear" w:color="auto" w:fill="auto"/>
            <w:vAlign w:val="center"/>
          </w:tcPr>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1. 申报责任：</w:t>
            </w:r>
            <w:r>
              <w:rPr>
                <w:rFonts w:hint="eastAsia" w:ascii="仿宋_GB2312" w:hAnsi="仿宋_GB2312" w:eastAsia="仿宋_GB2312" w:cs="仿宋_GB2312"/>
              </w:rPr>
              <w:t>公开发布评审通知，接受评审材料等。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2. 评审责任：</w:t>
            </w:r>
            <w:r>
              <w:rPr>
                <w:rFonts w:hint="eastAsia" w:ascii="仿宋_GB2312" w:hAnsi="仿宋_GB2312" w:eastAsia="仿宋_GB2312" w:cs="仿宋_GB2312"/>
              </w:rPr>
              <w:t>审核申报材料，组织专家现场核查，评审委员会审议，厅集体设定，结果公示等。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3. 表彰责任：</w:t>
            </w:r>
            <w:r>
              <w:rPr>
                <w:rFonts w:hint="eastAsia" w:ascii="仿宋_GB2312" w:hAnsi="仿宋_GB2312" w:eastAsia="仿宋_GB2312" w:cs="仿宋_GB2312"/>
              </w:rPr>
              <w:t>对获奖工程，向施工总承包单位颁发获奖证书，向共同申报的获奖监理单位、分包单位颁发获奖证书，并予以全市通报表彰；公开予以宣传。</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4. 事后监管责任：</w:t>
            </w:r>
            <w:r>
              <w:rPr>
                <w:rFonts w:hint="eastAsia" w:ascii="仿宋_GB2312" w:hAnsi="仿宋_GB2312" w:eastAsia="仿宋_GB2312" w:cs="仿宋_GB2312"/>
              </w:rPr>
              <w:t>工程获奖后发现存在工程质量问题的，组织专家进行核实，对确认存在质量问题的工程撤销其优质工程奖荣誉称号。</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 法律法规规定的其他责任。</w:t>
            </w:r>
          </w:p>
        </w:tc>
        <w:tc>
          <w:tcPr>
            <w:tcW w:w="47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桂建质〔2015〕3号公布）第九条  （五）已获得设区市级住房城乡建设行业或自治区相关行业工程质量最高奖（独立安装工程除外）。</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2.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桂建质〔2015〕3号公布）第十六条  优质工程奖的评选程序如下：（一）区质安协会对申报资料进行审核......</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3.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桂建质〔2015〕3号公布）第二十二条  对荣获优质工程奖的工程，广西壮族自治区住房和城乡建设厅向施工总承包单位颁发广西壮族自治区优质工程奖奖牌、奖杯和获奖证书，向共同申报的获奖监理单位、分包单位颁发获奖证书，并予以全区通报表彰。</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第二十三条  对获奖工程和单位，在“广西住房和城乡建设厅网”和“广西建设工程质量安全监督信息网”上予以专栏宣传。</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4.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 第二十四条  申报优质工程奖的单位不得弄虚作假，违者将视情节轻重给予批评教育、取消工程申报资格的处理；情节特别严重的，暂停单位申报资格3年。</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第二十五条  受理申报的工作人员、工程核查人员、评审委员会成员必须秉公办事，廉洁自律，不得收受单位及有关人员的礼品、礼金，不得参加有可能影响评选公正性的接待活动，违者将视情节轻重，给予批评教育，直至给予撤销负责申报受理、工程核查和评委资格的处理，并将违纪行为通知其所在单位。</w:t>
            </w:r>
          </w:p>
        </w:tc>
        <w:tc>
          <w:tcPr>
            <w:tcW w:w="1469"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706" w:type="dxa"/>
            <w:vAlign w:val="center"/>
          </w:tcPr>
          <w:p>
            <w:pPr>
              <w:spacing w:after="200" w:line="26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r>
              <w:rPr>
                <w:rFonts w:hint="eastAsia" w:ascii="仿宋_GB2312" w:hAnsi="仿宋_GB2312" w:eastAsia="仿宋_GB2312" w:cs="仿宋_GB2312"/>
              </w:rPr>
              <w:br w:type="textWrapping"/>
            </w:r>
          </w:p>
        </w:tc>
        <w:tc>
          <w:tcPr>
            <w:tcW w:w="953" w:type="dxa"/>
          </w:tcPr>
          <w:p>
            <w:pPr>
              <w:adjustRightInd w:val="0"/>
              <w:snapToGrid w:val="0"/>
              <w:spacing w:line="320" w:lineRule="exact"/>
              <w:rPr>
                <w:rFonts w:ascii="仿宋_GB2312" w:hAnsi="仿宋_GB2312" w:eastAsia="仿宋_GB2312" w:cs="仿宋_GB2312"/>
                <w:snapToGrid w:val="0"/>
                <w:color w:val="000000"/>
              </w:rPr>
            </w:pPr>
          </w:p>
        </w:tc>
        <w:tc>
          <w:tcPr>
            <w:tcW w:w="387"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32</w:t>
            </w:r>
          </w:p>
        </w:tc>
        <w:tc>
          <w:tcPr>
            <w:tcW w:w="735" w:type="dxa"/>
            <w:shd w:val="clear" w:color="auto" w:fill="auto"/>
            <w:vAlign w:val="center"/>
          </w:tcPr>
          <w:p>
            <w:pPr>
              <w:adjustRightInd w:val="0"/>
              <w:snapToGrid w:val="0"/>
              <w:spacing w:line="284"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建设工程施工招标事项备案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1.【规章】《房屋建筑和市政基础设施工程施工招标投标管理办法》（2001年建设部令第89号 2001年5月31日发布施行）第十二条：招标人自行办施理工招标事宜的，应当在发布招标公告或者发出投标邀请书的5日前，向工程所在地县级以上地方人民政府建设行政主管部门备案，并报送下列材料：</w:t>
            </w:r>
          </w:p>
          <w:p>
            <w:pPr>
              <w:spacing w:line="280" w:lineRule="exact"/>
              <w:rPr>
                <w:rFonts w:ascii="仿宋_GB2312" w:hAnsi="仿宋_GB2312" w:eastAsia="仿宋_GB2312" w:cs="仿宋_GB2312"/>
              </w:rPr>
            </w:pPr>
            <w:r>
              <w:rPr>
                <w:rFonts w:hint="eastAsia" w:ascii="仿宋_GB2312" w:hAnsi="仿宋_GB2312" w:eastAsia="仿宋_GB2312" w:cs="仿宋_GB2312"/>
              </w:rPr>
              <w:t>（一）按照国家有关规定办理审批手续的各项批准文件；</w:t>
            </w:r>
          </w:p>
          <w:p>
            <w:pPr>
              <w:spacing w:line="280" w:lineRule="exact"/>
              <w:rPr>
                <w:rFonts w:ascii="仿宋_GB2312" w:hAnsi="仿宋_GB2312" w:eastAsia="仿宋_GB2312" w:cs="仿宋_GB2312"/>
              </w:rPr>
            </w:pPr>
            <w:r>
              <w:rPr>
                <w:rFonts w:hint="eastAsia" w:ascii="仿宋_GB2312" w:hAnsi="仿宋_GB2312" w:eastAsia="仿宋_GB2312" w:cs="仿宋_GB2312"/>
              </w:rPr>
              <w:t>（二）本办法第十一条所列条件的证明材料，包括专业技术人员的名单、职称证书或者执业资格证书及其工作经历的证明材料；</w:t>
            </w:r>
          </w:p>
          <w:p>
            <w:pPr>
              <w:spacing w:line="280" w:lineRule="exact"/>
              <w:rPr>
                <w:rFonts w:ascii="仿宋_GB2312" w:hAnsi="仿宋_GB2312" w:eastAsia="仿宋_GB2312" w:cs="仿宋_GB2312"/>
              </w:rPr>
            </w:pPr>
            <w:r>
              <w:rPr>
                <w:rFonts w:hint="eastAsia" w:ascii="仿宋_GB2312" w:hAnsi="仿宋_GB2312" w:eastAsia="仿宋_GB2312" w:cs="仿宋_GB2312"/>
              </w:rPr>
              <w:t>（三）法律、法规、规章规定的其他材料。</w:t>
            </w:r>
          </w:p>
          <w:p>
            <w:pPr>
              <w:spacing w:line="280" w:lineRule="exact"/>
              <w:rPr>
                <w:rFonts w:ascii="仿宋_GB2312" w:hAnsi="仿宋_GB2312" w:eastAsia="仿宋_GB2312" w:cs="仿宋_GB2312"/>
              </w:rPr>
            </w:pPr>
            <w:r>
              <w:rPr>
                <w:rFonts w:hint="eastAsia" w:ascii="仿宋_GB2312" w:hAnsi="仿宋_GB2312" w:eastAsia="仿宋_GB2312" w:cs="仿宋_GB2312"/>
              </w:rPr>
              <w:t>第十九条：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spacing w:line="280" w:lineRule="exact"/>
              <w:rPr>
                <w:rFonts w:ascii="仿宋_GB2312" w:hAnsi="仿宋_GB2312" w:eastAsia="仿宋_GB2312" w:cs="仿宋_GB2312"/>
              </w:rPr>
            </w:pPr>
            <w:r>
              <w:rPr>
                <w:rFonts w:hint="eastAsia" w:ascii="仿宋_GB2312" w:hAnsi="仿宋_GB2312" w:eastAsia="仿宋_GB2312" w:cs="仿宋_GB2312"/>
              </w:rPr>
              <w:t xml:space="preserve">   第二十条：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p>
            <w:pPr>
              <w:spacing w:line="280" w:lineRule="exact"/>
              <w:rPr>
                <w:rFonts w:ascii="仿宋_GB2312" w:hAnsi="仿宋_GB2312" w:eastAsia="仿宋_GB2312" w:cs="仿宋_GB2312"/>
              </w:rPr>
            </w:pPr>
            <w:r>
              <w:rPr>
                <w:rFonts w:hint="eastAsia" w:ascii="仿宋_GB2312" w:hAnsi="仿宋_GB2312" w:eastAsia="仿宋_GB2312" w:cs="仿宋_GB2312"/>
                <w:szCs w:val="21"/>
              </w:rPr>
              <w:t>2.【法律】《中华人民共和国招标投标法》（1999年8月30日主席令第二十一号）第四十七条 依法必须进行招标的项目，招标人应当自确定中标人之日起十五日内，向有关行政监督部门提交招标投标情况的书面报告。</w:t>
            </w:r>
          </w:p>
        </w:tc>
        <w:tc>
          <w:tcPr>
            <w:tcW w:w="2970" w:type="dxa"/>
            <w:shd w:val="clear" w:color="auto" w:fill="auto"/>
            <w:vAlign w:val="center"/>
          </w:tcPr>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制作给予XX项目招标文件备案的函送达申请人。</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加强监督管理，依法查处违法行为。</w:t>
            </w:r>
          </w:p>
          <w:p>
            <w:pPr>
              <w:adjustRightInd w:val="0"/>
              <w:snapToGrid w:val="0"/>
              <w:spacing w:line="248" w:lineRule="exact"/>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1-1.【地方政府规章】《广西壮族自治区行政执法程序规定》（1997年广西壮族自治区人民政府令第13号公布 </w:t>
            </w:r>
            <w:r>
              <w:rPr>
                <w:rFonts w:ascii="仿宋_GB2312" w:hAnsi="仿宋_GB2312" w:eastAsia="仿宋_GB2312" w:cs="仿宋_GB2312"/>
              </w:rPr>
              <w:t>1997年11月5日自治区人民政府第8次常务会议通过，发布施行</w:t>
            </w:r>
            <w:r>
              <w:rPr>
                <w:rFonts w:hint="eastAsia" w:ascii="仿宋_GB2312" w:hAnsi="仿宋_GB2312" w:eastAsia="仿宋_GB2312" w:cs="仿宋_GB2312"/>
              </w:rPr>
              <w:t>）第二十二条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2001年5月31日发布施行）第十二条：招标人自行办理施工招标事宜的，应当在发布招标公告或者发出投标邀请书的5日前，向工程所在地县级以上地方人民政府建设行政主管部门备案。并报送下列材料：……</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5.【规章】《房屋建筑和市政基础设施工程施工招标投标管理办法》（2001年建设部令第89号 2001年5月31日发布施行）第十九条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第四十九条　有违反《招标投标法》行为的，县级以上地方人民政府建设行政主管部门应当按照《招标投标法》的规定予以处罚。</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2.不履行或不正确履行建设工程施工招标事项备案权力，造成不良后果的。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33</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建设工程施工合同备案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numPr>
                <w:ilvl w:val="0"/>
                <w:numId w:val="8"/>
              </w:numPr>
              <w:spacing w:line="240" w:lineRule="exact"/>
              <w:rPr>
                <w:rFonts w:ascii="仿宋_GB2312" w:hAnsi="仿宋_GB2312" w:eastAsia="仿宋_GB2312" w:cs="仿宋_GB2312"/>
              </w:rPr>
            </w:pPr>
            <w:r>
              <w:rPr>
                <w:rFonts w:hint="eastAsia" w:ascii="仿宋_GB2312" w:hAnsi="仿宋_GB2312" w:eastAsia="仿宋_GB2312" w:cs="仿宋_GB2312"/>
              </w:rPr>
              <w:t>【规章】《房屋建筑和市政基础设施工程施工招标投标管理办法》（2001年建设部令第89号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2.【地方性法规】《广西壮族自治区建筑市场管理条例》（1996年8月6日广西壮族自治区第八届人民代表大会常务委员会第二十三次会议通过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九条第二款“实行总承包或者勘察、设计、施工、设备采购单项承包的建设工程，经发包方同意，承包方可以将需要分包的工程分包给具备相应资质等级的分包方，分包后必须报发放施工许可证的行政主管部门备案。并在分包现场派出具有相应资质的常驻人员，管理分包方履行合同。分包方不得将分包的工程再分包。”</w:t>
            </w:r>
            <w:r>
              <w:rPr>
                <w:rFonts w:hint="eastAsia" w:ascii="仿宋_GB2312" w:hAnsi="仿宋_GB2312" w:eastAsia="仿宋_GB2312" w:cs="仿宋_GB2312"/>
              </w:rPr>
              <w:br w:type="textWrapping"/>
            </w:r>
            <w:r>
              <w:rPr>
                <w:rFonts w:hint="eastAsia" w:ascii="仿宋_GB2312" w:hAnsi="仿宋_GB2312" w:eastAsia="仿宋_GB2312" w:cs="仿宋_GB2312"/>
              </w:rPr>
              <w:t>3.【规章】《房屋建筑和市政基础设施工程施工分包管理办法》（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修改）第十条第二款“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制作给予XX项目施工合同备案书送达申请人。</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加强监督管理，加强履约检查，依法查处违法行为。</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1-1.【地方政府规章】《广西壮族自治区行政执法程序规定》（1997年11月5日经广西壮族自治区人民政府第八次常务会议通过1997年12月3日广西壮族自治区人民政府令第13号发布）第二十二条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2.【地方政府规章】《广西壮族自治区行政执法程序规定》（1997年11月5日经广西壮族自治区人民政府第八次常务会议通过1997年12月3日广西壮族自治区人民政府令第13号发布）第二十五条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5-1.【规章】同1-2</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5-2.【规章】《房屋建筑和市政基础设施工程施工招标投标管理办法》（2001年建设部令第89号 2001年5月31日发布施行）第四十九条　有违反《招标投标法》行为的，县级以上地方人民政府建设行政主管部门应当按照《招标投标法》的规定予以处罚。</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shd w:val="clear" w:color="auto" w:fill="auto"/>
            <w:vAlign w:val="center"/>
          </w:tcPr>
          <w:p>
            <w:pPr>
              <w:adjustRightInd w:val="0"/>
              <w:snapToGrid w:val="0"/>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其他行政权力</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840" w:tblpY="-1815"/>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34</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施工企业生产安全事故应急预案备案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b/>
                <w:bCs/>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p>
            <w:pPr>
              <w:adjustRightInd w:val="0"/>
              <w:snapToGrid w:val="0"/>
              <w:spacing w:line="320" w:lineRule="exact"/>
              <w:rPr>
                <w:rFonts w:ascii="仿宋_GB2312" w:hAnsi="仿宋_GB2312" w:eastAsia="仿宋_GB2312" w:cs="仿宋_GB2312"/>
                <w:snapToGrid w:val="0"/>
                <w:color w:val="000000"/>
              </w:rPr>
            </w:pPr>
          </w:p>
        </w:tc>
        <w:tc>
          <w:tcPr>
            <w:tcW w:w="4950" w:type="dxa"/>
            <w:shd w:val="clear" w:color="auto" w:fill="auto"/>
          </w:tcPr>
          <w:p>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p>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35</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出租及自购建筑起重机械首次出租和安装备案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　　</w:t>
            </w:r>
          </w:p>
        </w:tc>
        <w:tc>
          <w:tcPr>
            <w:tcW w:w="297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1.【规章】《建筑起重机械安全监督管理规定》（建设部令第166号）第五条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2.不履行或不正确履行出租及自购建筑起重机械首次出租和安装备案权力，造成不良后果的。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36</w:t>
            </w:r>
          </w:p>
        </w:tc>
        <w:tc>
          <w:tcPr>
            <w:tcW w:w="73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70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商品房预售合同备案</w:t>
            </w:r>
          </w:p>
        </w:tc>
        <w:tc>
          <w:tcPr>
            <w:tcW w:w="48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法规】《城市房地产开发经营管理条例》（国务院令第248号，1998年7月20日）第十条“商品房预售，开发企业应当与承购人签订商品房预售合同。开发企业应当自签约之日起30日内，向房地产管理部门和市、县人民政府土地管理部门办理商品房预售合同登记备案手续。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第三十二条“商品房预售合同订立后，应当按照规定向房地产经营主管部门备案。”</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：建设行政主管部门作出同意或不同意的决定，不同意的告知不予许可的理由，按时办结，依法告知。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 xml:space="preserve"> 5.其他责任：</w:t>
            </w:r>
            <w:r>
              <w:rPr>
                <w:rFonts w:hint="eastAsia" w:ascii="仿宋_GB2312" w:hAnsi="仿宋_GB2312" w:eastAsia="仿宋_GB2312" w:cs="仿宋_GB2312"/>
                <w:snapToGrid w:val="0"/>
              </w:rPr>
              <w:t xml:space="preserve">其他法律法规规章文件规定应履行的责任。 </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-2【法规】《城市房地产开发经营管理条例》（国务院令第248号，1998年7月20日）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第三十二条“商品房预售合同订立后，应当按照规定向房地产经营主管部门备案。”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2.同1.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2.不履行或不正确履行商品房预售合同备案权力，造成不良后果的。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37</w:t>
            </w:r>
          </w:p>
        </w:tc>
        <w:tc>
          <w:tcPr>
            <w:tcW w:w="735" w:type="dxa"/>
            <w:shd w:val="clear" w:color="auto" w:fill="auto"/>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rPr>
              <w:t>其他权利事项</w:t>
            </w:r>
          </w:p>
        </w:tc>
        <w:tc>
          <w:tcPr>
            <w:tcW w:w="70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建设工程竣工验收备案</w:t>
            </w:r>
          </w:p>
        </w:tc>
        <w:tc>
          <w:tcPr>
            <w:tcW w:w="48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1. 【行政法规】《建设工程质量管理条例》(（2000年1月10日国务院第25次常务会议通过 2000年1月30日中华人民共和国国务院令第279号公布 自公布之日起施行）)第四十九条第一款“建设单位应当自建设工程竣工验收合格之日起１５日内，将建设工程竣工验收报告和规划、公安消防、环保等部门出具的认可文件或者准许使用文件报建设行政主管部门或者其他有关部门备案。”</w:t>
            </w:r>
            <w:r>
              <w:rPr>
                <w:rFonts w:hint="eastAsia" w:ascii="仿宋_GB2312" w:hAnsi="仿宋_GB2312" w:eastAsia="仿宋_GB2312" w:cs="仿宋_GB2312"/>
              </w:rPr>
              <w:br w:type="textWrapping"/>
            </w:r>
            <w:r>
              <w:rPr>
                <w:rFonts w:hint="eastAsia" w:ascii="仿宋_GB2312" w:hAnsi="仿宋_GB2312" w:eastAsia="仿宋_GB2312" w:cs="仿宋_GB2312"/>
              </w:rPr>
              <w:t>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w:t>
            </w:r>
          </w:p>
        </w:tc>
        <w:tc>
          <w:tcPr>
            <w:tcW w:w="2970"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4.事后监督</w:t>
            </w:r>
            <w:r>
              <w:rPr>
                <w:rFonts w:hint="eastAsia" w:ascii="仿宋_GB2312" w:hAnsi="仿宋_GB2312" w:eastAsia="仿宋_GB2312" w:cs="仿宋_GB2312"/>
                <w:snapToGrid w:val="0"/>
              </w:rPr>
              <w:t>：加强后续监督检查。</w:t>
            </w:r>
          </w:p>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1-1.【法规】《建设工程质量管理条例》(2000年1月10日国务院第25次常务会议通过 2000年1月30日中华人民共和国国务院令第279号公布 自公布之日起施行)第四十九条第一款“建设单位应当自建设工程竣工验收合格之日起15日内，将建设工程竣工验收报告和规划、公安消防、环保等部门出具的认可文件或者准许使用文件报建设行政主管部门或者其他有关部门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限价普通商品住房资格审查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1.【规章】《国务院办公厅关于促进房地产市场平稳健康发展的通知》（九）：“…要加快建设限价商品住房、公共租赁住房，解决中等偏下收入家庭的住房困难。”</w:t>
            </w:r>
          </w:p>
          <w:p>
            <w:pPr>
              <w:rPr>
                <w:rFonts w:ascii="仿宋_GB2312" w:hAnsi="仿宋_GB2312" w:eastAsia="仿宋_GB2312" w:cs="仿宋_GB2312"/>
              </w:rPr>
            </w:pPr>
            <w:r>
              <w:rPr>
                <w:rFonts w:hint="eastAsia" w:ascii="仿宋_GB2312" w:hAnsi="仿宋_GB2312" w:eastAsia="仿宋_GB2312" w:cs="仿宋_GB2312"/>
              </w:rPr>
              <w:t>2.【规章】《广西保障性住房管理暂行办法》（桂政办发</w:t>
            </w:r>
            <w:r>
              <w:rPr>
                <w:rFonts w:ascii="仿宋_GB2312" w:hAnsi="仿宋_GB2312" w:eastAsia="仿宋_GB2312" w:cs="仿宋_GB2312"/>
              </w:rPr>
              <w:t>[2013]77</w:t>
            </w:r>
            <w:r>
              <w:rPr>
                <w:rFonts w:hint="eastAsia" w:ascii="仿宋_GB2312" w:hAnsi="仿宋_GB2312" w:eastAsia="仿宋_GB2312" w:cs="仿宋_GB2312"/>
              </w:rPr>
              <w:t>号）第三十七条</w:t>
            </w:r>
            <w:r>
              <w:rPr>
                <w:rFonts w:ascii="仿宋_GB2312" w:hAnsi="仿宋_GB2312" w:eastAsia="仿宋_GB2312" w:cs="仿宋_GB2312"/>
              </w:rPr>
              <w:t xml:space="preserve">: </w:t>
            </w:r>
            <w:r>
              <w:rPr>
                <w:rFonts w:hint="eastAsia" w:ascii="仿宋_GB2312" w:hAnsi="仿宋_GB2312" w:eastAsia="仿宋_GB2312" w:cs="仿宋_GB2312"/>
              </w:rPr>
              <w:t>“保障性住房的分配实行“三审两公示”制度。…若符合条件，当地住房保障主管部门对前两次审核获取的信息进行第三次综合审查，</w:t>
            </w:r>
            <w:r>
              <w:rPr>
                <w:rFonts w:ascii="仿宋_GB2312" w:hAnsi="仿宋_GB2312" w:eastAsia="仿宋_GB2312" w:cs="仿宋_GB2312"/>
              </w:rPr>
              <w:t xml:space="preserve">5 </w:t>
            </w:r>
            <w:r>
              <w:rPr>
                <w:rFonts w:hint="eastAsia" w:ascii="仿宋_GB2312" w:hAnsi="仿宋_GB2312" w:eastAsia="仿宋_GB2312" w:cs="仿宋_GB2312"/>
              </w:rPr>
              <w:t>个工作日内拟定具备参与分配资格的名单。经过第三次审查之后，符合条件的申请者名单将在当地政府网站或住房保障主管部门网站上进行公示。”</w:t>
            </w:r>
          </w:p>
          <w:p>
            <w:pPr>
              <w:rPr>
                <w:rFonts w:ascii="仿宋_GB2312" w:hAnsi="仿宋_GB2312" w:eastAsia="仿宋_GB2312" w:cs="仿宋_GB2312"/>
                <w:snapToGrid w:val="0"/>
                <w:color w:val="000000"/>
              </w:rPr>
            </w:pPr>
            <w:r>
              <w:rPr>
                <w:rFonts w:hint="eastAsia" w:ascii="仿宋_GB2312" w:hAnsi="仿宋_GB2312" w:eastAsia="仿宋_GB2312" w:cs="仿宋_GB2312"/>
              </w:rPr>
              <w:t>3.【规范性文件】《柳州市限价普通商品住房管理暂行办法》柳政办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 xml:space="preserve">) </w:t>
            </w:r>
            <w:r>
              <w:rPr>
                <w:rFonts w:hint="eastAsia" w:ascii="仿宋_GB2312" w:hAnsi="仿宋_GB2312" w:eastAsia="仿宋_GB2312" w:cs="仿宋_GB2312"/>
              </w:rPr>
              <w:t>第十九条</w:t>
            </w:r>
            <w:r>
              <w:rPr>
                <w:rFonts w:ascii="仿宋_GB2312" w:hAnsi="仿宋_GB2312" w:eastAsia="仿宋_GB2312" w:cs="仿宋_GB2312"/>
              </w:rPr>
              <w:t xml:space="preserve">:  </w:t>
            </w:r>
            <w:r>
              <w:rPr>
                <w:rFonts w:hint="eastAsia" w:ascii="仿宋_GB2312" w:hAnsi="仿宋_GB2312" w:eastAsia="仿宋_GB2312" w:cs="仿宋_GB2312"/>
              </w:rPr>
              <w:t>“集中受理购房申请时间截止后，市住房和城乡建设委员会应在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按照事项条件、标准、审核申报材料是否齐全、是否符合购买限价普通商品住房的条件，决定是否受理。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对符合条件的申请人，向申请人出具同意进行购买限价普通商品房的书面文书。</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w:t>
            </w:r>
            <w:r>
              <w:rPr>
                <w:rFonts w:hint="eastAsia" w:ascii="仿宋_GB2312" w:hAnsi="仿宋_GB2312" w:eastAsia="仿宋_GB2312" w:cs="仿宋_GB2312"/>
              </w:rPr>
              <w:t>：“第十八条购房申请人应按规定的时限和方式提交购房申请和提供以下资料：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（一）柳州市限价普通商品住房购房申请表；</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（二）户口本和家庭成员身份证明；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（三）本人婚姻状况证明文件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（四）本人及家庭成员所在工作单位或户口所在地街道办事处出具的收入、住房情况证明；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（五）外来务工人员家庭需提交申请人在本市市区连续两年缴纳社保及医保的相关证明材料；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（六）符合优先购买条件的申请人应提交相关证明材料。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（七）其他需提交的证明材料。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购房申请人应承诺其提交的购房申请和提供的证明资料真实无误，并同意有关部门查核有关情况。</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第十九条集中受理购房申请时间截止后，市住房和城乡建设委员会应在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市住房和城乡建设委员会应将合格申请人名单通过报纸或网站等媒体向社会公示，公示期不少于</w:t>
            </w:r>
            <w:r>
              <w:rPr>
                <w:rFonts w:ascii="仿宋_GB2312" w:hAnsi="仿宋_GB2312" w:eastAsia="仿宋_GB2312" w:cs="仿宋_GB2312"/>
              </w:rPr>
              <w:t>5</w:t>
            </w:r>
            <w:r>
              <w:rPr>
                <w:rFonts w:hint="eastAsia" w:ascii="仿宋_GB2312" w:hAnsi="仿宋_GB2312" w:eastAsia="仿宋_GB2312" w:cs="仿宋_GB2312"/>
              </w:rPr>
              <w:t>日，公示期满无异议或异议经审核不成立的合格申请人确认为有效购房人。</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公示期满后</w:t>
            </w:r>
            <w:r>
              <w:rPr>
                <w:rFonts w:ascii="仿宋_GB2312" w:hAnsi="仿宋_GB2312" w:eastAsia="仿宋_GB2312" w:cs="仿宋_GB2312"/>
              </w:rPr>
              <w:t>3</w:t>
            </w:r>
            <w:r>
              <w:rPr>
                <w:rFonts w:hint="eastAsia" w:ascii="仿宋_GB2312" w:hAnsi="仿宋_GB2312" w:eastAsia="仿宋_GB2312" w:cs="仿宋_GB2312"/>
              </w:rPr>
              <w:t>个工作日内，根据公示结果，将根据合格申请人是否享有优先购买权，分为优先合格申请人和普通合格申请人两类。”</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单位集资建房的项目方案审查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1.【国务院决定】《国务院关于深化城镇住房制度改革的决定》（国发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号）：“（二十六）鼓励集资合作建房，继续发展住房合作社，在统一规划的前提下，充分发挥各方面积极性，加快城镇危旧住房改造。”</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2.【规章】《经济适用住房管理办法》（建住房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3.【规范性文件】《广西壮族自治区经济适用住房管理办法》（桂政发</w:t>
            </w:r>
            <w:r>
              <w:rPr>
                <w:rFonts w:ascii="仿宋_GB2312" w:hAnsi="仿宋_GB2312" w:eastAsia="仿宋_GB2312" w:cs="仿宋_GB2312"/>
              </w:rPr>
              <w:t>[2009]22</w:t>
            </w:r>
            <w:r>
              <w:rPr>
                <w:rFonts w:hint="eastAsia" w:ascii="仿宋_GB2312" w:hAnsi="仿宋_GB2312" w:eastAsia="仿宋_GB2312" w:cs="仿宋_GB2312"/>
              </w:rPr>
              <w:t>号）第四十条：“距离城区较远的独立工矿企业、事业单位和住房困难户较多的企业、事业单位，在符合土地利用总体规划、城市规划、住房建设规划的前提下，经市、县经济适用住房主管部门批准，可以利用单位原有自用土地进行集资合作建房。”</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按照事项条件、标准、审核申报材料是否齐全、是否符合单位集资建房项目的条件，决定是否受理。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对符合单位集资建房条件的项目，向申报单位出具同意进行集资建房的书面文书。</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266" w:lineRule="exact"/>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ind w:firstLine="400" w:firstLineChars="20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ind w:firstLine="400" w:firstLineChars="20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 xml:space="preserve">    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40</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危旧房改住房改造项目审查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危旧房改住房改造项目改造方案审查</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十条第一款：“当地住房制度改革委员会应当自收到建设单位申请之日起十个工作日内进行审查，提出意见后报上一级住房制度改革委员会审批。上一级住房制度改革委员会应当自收到建设单位申请之日起十个工作日内审批。设区城市住房制度改革委员会审批所辖县</w:t>
            </w:r>
            <w:r>
              <w:rPr>
                <w:rFonts w:ascii="仿宋_GB2312" w:hAnsi="仿宋_GB2312" w:eastAsia="仿宋_GB2312" w:cs="仿宋_GB2312"/>
              </w:rPr>
              <w:t>(</w:t>
            </w:r>
            <w:r>
              <w:rPr>
                <w:rFonts w:hint="eastAsia" w:ascii="仿宋_GB2312" w:hAnsi="仿宋_GB2312" w:eastAsia="仿宋_GB2312" w:cs="仿宋_GB2312"/>
              </w:rPr>
              <w:t>市</w:t>
            </w:r>
            <w:r>
              <w:rPr>
                <w:rFonts w:ascii="仿宋_GB2312" w:hAnsi="仿宋_GB2312" w:eastAsia="仿宋_GB2312" w:cs="仿宋_GB2312"/>
              </w:rPr>
              <w:t>)</w:t>
            </w:r>
            <w:r>
              <w:rPr>
                <w:rFonts w:hint="eastAsia" w:ascii="仿宋_GB2312" w:hAnsi="仿宋_GB2312" w:eastAsia="仿宋_GB2312" w:cs="仿宋_GB2312"/>
              </w:rPr>
              <w:t>的方案和结果要在五个工作日内报自治区住房制度改革委员会办公室备案。”</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按照危旧房改住房改造项目申报登记事项条件、标准、审核申报材料是否齐全、是否符合危旧房改住房改造的条件，决定是否受理。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对符合危旧房改住房改造条件的项目，向申报单位出具同意进行危旧房改住房改造的书面文书。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二章项目审批第九条建设单位改造危旧房改住房向当地住房制度改革委员会（在南宁市的中直、区直单位改造危旧房改住房向自治区直属单位住房制度改革委员会，下同）提出申请，并根据本办法第三条规定的危旧房改住房情形提交下列相关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（一）申请书；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（二）不符合建筑抗震设防要求的鉴定书、房改住房使用年限的有关证明材料、房产主管部门设立的房屋安全鉴定机构或者有检测资质的建设工程质量鉴定机构出具的危险住房鉴定书等；</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（三）划拨国有住宅土地使用权证书；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（四）房屋权属证明；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（五）原住宅区总平面图；</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（六）规划主管部门核准的新建住房规划设计条件；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（七）全体房改住房（含上市交易过的房改住房，下同）产权人同意改造的意见书；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（八）项目改造方案。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条当地住房制度改革委员会应当自收到建设单位申请之日起十个工作日内进行审查，提出意见后报上一级住房制度改革委员会审批。上一级住房制度改革委员会应当自收到建设单位申请之日起十个工作日内审批。建设单位凭住房制度改革委员会同意危旧房改住房改造的批准文件，到当地有关部门申请办理危旧房改住房改造项目的立项、报建等有关手续。”</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不履行或不正确履行危旧房改住房改造项目审查权力，造成不良后果的。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rPr>
              <w:t>.</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危旧房改住房改造项目非还建住房价格确认</w:t>
            </w:r>
          </w:p>
        </w:tc>
        <w:tc>
          <w:tcPr>
            <w:tcW w:w="329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按照非还建住房价格确认事项条件、标准、审核申报材料是否齐全、是否符合非还建住房价格确认的条件，决定是否受理。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对非还建住房价格确认的项目，向申报单位出具同意非还建住房价格确认的书面文书。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tc>
        <w:tc>
          <w:tcPr>
            <w:tcW w:w="1515"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4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3.</w:t>
            </w:r>
            <w:r>
              <w:rPr>
                <w:rFonts w:hint="eastAsia" w:ascii="仿宋_GB2312" w:hAnsi="仿宋_GB2312" w:eastAsia="仿宋_GB2312" w:cs="仿宋_GB2312"/>
              </w:rPr>
              <w:t>非还建住房购买资格审查</w:t>
            </w:r>
          </w:p>
        </w:tc>
        <w:tc>
          <w:tcPr>
            <w:tcW w:w="329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按照危旧房改住房改造项目非还建住房购买资格事项条件、标准、审核申报材料是否齐全、是否符合危旧房改住房非还建住房购买资格的条件，决定是否受理。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对符合条件的申请人，向申请人出具同意购买非还建住房的书面文书。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4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危旧房改住房改造项目确认</w:t>
            </w:r>
          </w:p>
        </w:tc>
        <w:tc>
          <w:tcPr>
            <w:tcW w:w="329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按照危旧房改住房改造项目确认申报登记事项条件、标准、审核申报材料是否齐全、是否符合危旧房改住房改造项目确认的条件，决定是否受理。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对符合危旧房改住房改造项目确认条件的项目，向申报单位出具同意进行确认的书面文书。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4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公有住房出售审查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w:t>
            </w:r>
            <w:r>
              <w:rPr>
                <w:rFonts w:hint="eastAsia" w:ascii="仿宋_GB2312" w:hAnsi="仿宋_GB2312" w:eastAsia="仿宋_GB2312" w:cs="仿宋_GB2312"/>
              </w:rPr>
              <w:t>《国务院关于深化城镇住房制度改革的决定》（国发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四、稳步出售公有住房…（十八）职工按成本价或标准价购买公有住房，每个家庭只能享受一次，购房的数量必须严格按照国家和各级人民政府规定的分配住房的控制标准执行，超过标准部分一律执行市场价”。</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按照事项条件、标准、审核申报材料是否齐全、是否符合公有住房出售的条件，决定是否受理。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对符合公有住房出售条件的单位，向申报单位出具同意进行出售公有住房的书面文书。</w:t>
            </w:r>
          </w:p>
          <w:p>
            <w:pPr>
              <w:adjustRightInd w:val="0"/>
              <w:snapToGrid w:val="0"/>
              <w:spacing w:line="320" w:lineRule="exact"/>
              <w:ind w:firstLine="300" w:firstLineChars="150"/>
              <w:jc w:val="both"/>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jc w:val="both"/>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42</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住房补贴和工龄补贴事项审查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1.【规章】《国务院关于进一步深化城镇住房制度改革加快住房建设的通知》（国发</w:t>
            </w:r>
            <w:r>
              <w:rPr>
                <w:rFonts w:ascii="仿宋_GB2312" w:hAnsi="仿宋_GB2312" w:eastAsia="仿宋_GB2312" w:cs="仿宋_GB2312"/>
              </w:rPr>
              <w:t>[1998]23</w:t>
            </w:r>
            <w:r>
              <w:rPr>
                <w:rFonts w:hint="eastAsia" w:ascii="仿宋_GB2312" w:hAnsi="仿宋_GB2312" w:eastAsia="仿宋_GB2312" w:cs="仿宋_GB2312"/>
              </w:rPr>
              <w:t>号）：“（六）停止住房实物分配后，房价收入比（即本地区一套建筑面积为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按照事项条件、标准、审核申报材料是否齐全、是否符合住房补贴发放的条件，决定是否受理。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对符合住房补贴发放条件的申请人，向申请人出具同意发放住房补贴的书面文书。</w:t>
            </w:r>
          </w:p>
          <w:p>
            <w:pPr>
              <w:adjustRightInd w:val="0"/>
              <w:snapToGrid w:val="0"/>
              <w:spacing w:line="320" w:lineRule="exact"/>
              <w:ind w:firstLine="300" w:firstLineChars="15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p>
            <w:pPr>
              <w:adjustRightInd w:val="0"/>
              <w:snapToGrid w:val="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43</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在管道燃气设施安全保护范围内施工作业安全保护协议、事故应急预案及相关审批手续的备案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tc>
        <w:tc>
          <w:tcPr>
            <w:tcW w:w="2970" w:type="dxa"/>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六</w:t>
            </w:r>
            <w:r>
              <w:rPr>
                <w:rFonts w:ascii="仿宋_GB2312" w:hAnsi="仿宋_GB2312" w:eastAsia="仿宋_GB2312" w:cs="仿宋_GB2312"/>
              </w:rPr>
              <w:t>)</w:t>
            </w:r>
            <w:r>
              <w:rPr>
                <w:rFonts w:hint="eastAsia" w:ascii="仿宋_GB2312" w:hAnsi="仿宋_GB2312" w:eastAsia="仿宋_GB2312" w:cs="仿宋_GB2312"/>
              </w:rPr>
              <w:t>其他玩忽职守、滥用职权、徇私舞弊的行为。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44</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当供水水质不能达到标准确需停止供水的监管</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日施行的）第二十七条第二款，城市供水单位发现供水水质不能达到标准，确需停止供水的，应当报经所在地直辖市、市、县人民政府城市供水主管部门批准，并提前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w:t>
            </w:r>
          </w:p>
        </w:tc>
        <w:tc>
          <w:tcPr>
            <w:tcW w:w="2970" w:type="dxa"/>
            <w:vAlign w:val="center"/>
          </w:tcPr>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262" w:lineRule="exact"/>
              <w:jc w:val="cente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　发现城市供水水质安全隐患或者安全事故后，直辖市、市、县人民政府城市供水主管部门应当会同有关部门立即启动城市供水水质突发事件应急预案，采取措施防止事故发生或者扩大，并保障有关单位和个人的用水；有关城市供水单位、二次供水管理单位应当立即组织人员查明情况，组织抢险抢修。</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小时通知用水单位和个人；因发生灾害或者紧急事故，不能提前通知的，应当在采取应急措施的同时，通知用水单位和个人，并向所在地直辖市、市、县人民政府城市供水主管部门报告。</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不履行或不正确履行停止供水核准权力，造成不良后果的。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　行政机关及其工作人员在行政审批过程中，有下列情形之一的，应当责令纠正并追究行政过错责任：</w:t>
            </w:r>
          </w:p>
          <w:p>
            <w:pPr>
              <w:spacing w:after="200" w:line="262" w:lineRule="exact"/>
              <w:textAlignment w:val="center"/>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26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45</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center"/>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市政公用事业特许经营协议备案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tc>
        <w:tc>
          <w:tcPr>
            <w:tcW w:w="2970" w:type="dxa"/>
            <w:vAlign w:val="center"/>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vAlign w:val="center"/>
          </w:tcPr>
          <w:p>
            <w:pPr>
              <w:adjustRightInd w:val="0"/>
              <w:snapToGrid w:val="0"/>
              <w:spacing w:line="320" w:lineRule="exact"/>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　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房屋租赁合同登记备案</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3.【规章】《商品房屋租赁管理办法》（建设部第6号令，2011年2月1日）第二十条：直辖市、市、县建设（房地产）主管部门应当建立房屋租赁登记备案信息系统，逐步实行房屋租赁合同网上登记备案，并纳入房地产市场信息系统。</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4.监管责任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1-1. 【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1-2。【规章】《商品房屋租赁管理办法》（建设部第6号令，2011年2月1日）第十四条：房屋租赁当事人应当到租赁房屋所在地直辖市、市、县人民政府政府建设（房地产）主管部门办理房屋租赁登记备案。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2.不履行或不正确履行房屋租赁合同登记备案权力，造成不良后果的。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spacing w:val="-2"/>
              </w:rPr>
              <w:t>房产测绘成果备案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spacing w:val="-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c>
          <w:tcPr>
            <w:tcW w:w="2970"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b/>
                <w:bCs/>
                <w:color w:val="000000"/>
              </w:rPr>
              <w:t>1.受理责任</w:t>
            </w:r>
            <w:r>
              <w:rPr>
                <w:rFonts w:hint="eastAsia" w:ascii="仿宋_GB2312" w:hAnsi="仿宋_GB2312" w:eastAsia="仿宋_GB2312" w:cs="仿宋_GB2312"/>
                <w:color w:val="000000"/>
              </w:rPr>
              <w:t>：受理备案申请，并告知申请人办理备案的相关事项。</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2.审查责任</w:t>
            </w:r>
            <w:r>
              <w:rPr>
                <w:rFonts w:hint="eastAsia" w:ascii="仿宋_GB2312" w:hAnsi="仿宋_GB2312" w:eastAsia="仿宋_GB2312" w:cs="仿宋_GB2312"/>
                <w:color w:val="000000"/>
              </w:rPr>
              <w:t>：审查备案资料，材料不齐全的一次性告知，不符合法定条件的退回.</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3.决定责任</w:t>
            </w:r>
            <w:r>
              <w:rPr>
                <w:rFonts w:hint="eastAsia" w:ascii="仿宋_GB2312" w:hAnsi="仿宋_GB2312" w:eastAsia="仿宋_GB2312" w:cs="仿宋_GB2312"/>
                <w:color w:val="000000"/>
              </w:rPr>
              <w:t>：房地产行政主管部门作出同意或不同意的决定，不同意的告知不予备案的理由，按时办结，依法告知。</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4.监管责任</w:t>
            </w:r>
            <w:r>
              <w:rPr>
                <w:rFonts w:hint="eastAsia" w:ascii="仿宋_GB2312" w:hAnsi="仿宋_GB2312" w:eastAsia="仿宋_GB2312" w:cs="仿宋_GB2312"/>
                <w:color w:val="000000"/>
              </w:rPr>
              <w:t>：加强后续监督检查。</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tcPr>
          <w:p>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同1</w:t>
            </w:r>
          </w:p>
          <w:p>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同1</w:t>
            </w:r>
          </w:p>
          <w:p>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同1</w:t>
            </w:r>
          </w:p>
          <w:p>
            <w:pPr>
              <w:numPr>
                <w:ilvl w:val="0"/>
                <w:numId w:val="11"/>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其他法律法规</w:t>
            </w:r>
          </w:p>
        </w:tc>
        <w:tc>
          <w:tcPr>
            <w:tcW w:w="1515" w:type="dxa"/>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因不履行或不正确履行行政职责，有下列情形的，行政机关及相关工作人员应承担相应责任：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1.符合法定备案条件的未受理、未办理的，不符合法定备案条件受理办理的。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2.不履行或不正确履行商品房预售合同备案权力，造成不良后果的。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3.在审查监管中失职、渎职的。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4.在备案中有接受宴请、钱物等腐败行为的。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5.其他法律法规规章文件规定应履行的责任。</w:t>
            </w:r>
          </w:p>
          <w:p>
            <w:pPr>
              <w:rPr>
                <w:rFonts w:ascii="仿宋_GB2312" w:hAnsi="仿宋_GB2312" w:eastAsia="仿宋_GB2312" w:cs="仿宋_GB2312"/>
                <w:color w:val="000000"/>
              </w:rPr>
            </w:pPr>
          </w:p>
        </w:tc>
        <w:tc>
          <w:tcPr>
            <w:tcW w:w="4858" w:type="dxa"/>
            <w:vAlign w:val="center"/>
          </w:tcPr>
          <w:p>
            <w:pPr>
              <w:numPr>
                <w:ilvl w:val="0"/>
                <w:numId w:val="12"/>
              </w:numPr>
              <w:rPr>
                <w:rFonts w:ascii="仿宋_GB2312" w:hAnsi="仿宋_GB2312" w:eastAsia="仿宋_GB2312" w:cs="仿宋_GB2312"/>
                <w:color w:val="000000"/>
              </w:rPr>
            </w:pPr>
            <w:r>
              <w:rPr>
                <w:rFonts w:hint="eastAsia" w:ascii="仿宋_GB2312" w:hAnsi="仿宋_GB2312" w:eastAsia="仿宋_GB2312" w:cs="仿宋_GB2312"/>
                <w:color w:val="00000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color w:val="000000"/>
              </w:rPr>
              <w:t>中华人民共和国</w:t>
            </w:r>
            <w:r>
              <w:rPr>
                <w:rFonts w:ascii="仿宋_GB2312" w:hAnsi="仿宋_GB2312" w:eastAsia="仿宋_GB2312" w:cs="仿宋_GB2312"/>
                <w:color w:val="000000"/>
              </w:rPr>
              <w:fldChar w:fldCharType="end"/>
            </w:r>
            <w:r>
              <w:rPr>
                <w:rFonts w:ascii="仿宋_GB2312" w:hAnsi="仿宋_GB2312" w:eastAsia="仿宋_GB2312" w:cs="仿宋_GB2312"/>
                <w:color w:val="000000"/>
              </w:rPr>
              <w:t>国务院第173次常务会议通过并于2007年4月22日中华人民共和国国务院令第495号公布的文件</w:t>
            </w:r>
            <w:r>
              <w:rPr>
                <w:rFonts w:hint="eastAsia" w:ascii="仿宋_GB2312" w:hAnsi="仿宋_GB2312" w:eastAsia="仿宋_GB2312" w:cs="仿宋_GB2312"/>
                <w:color w:val="00000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color w:val="000000"/>
              </w:rPr>
              <w:t>中华人民共和国</w:t>
            </w:r>
            <w:r>
              <w:rPr>
                <w:rFonts w:ascii="仿宋_GB2312" w:hAnsi="仿宋_GB2312" w:eastAsia="仿宋_GB2312" w:cs="仿宋_GB2312"/>
                <w:color w:val="000000"/>
              </w:rPr>
              <w:fldChar w:fldCharType="end"/>
            </w:r>
            <w:r>
              <w:rPr>
                <w:rFonts w:ascii="仿宋_GB2312" w:hAnsi="仿宋_GB2312" w:eastAsia="仿宋_GB2312" w:cs="仿宋_GB2312"/>
                <w:color w:val="000000"/>
              </w:rPr>
              <w:t>国务院第173次常务会议通过并于2007年4月22日中华人民共和国国务院令第495号公布的文件</w:t>
            </w:r>
            <w:r>
              <w:rPr>
                <w:rFonts w:hint="eastAsia" w:ascii="仿宋_GB2312" w:hAnsi="仿宋_GB2312" w:eastAsia="仿宋_GB2312" w:cs="仿宋_GB2312"/>
                <w:color w:val="00000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color w:val="000000"/>
              </w:rPr>
              <w:t>中华人民共和国</w:t>
            </w:r>
            <w:r>
              <w:rPr>
                <w:rFonts w:ascii="仿宋_GB2312" w:hAnsi="仿宋_GB2312" w:eastAsia="仿宋_GB2312" w:cs="仿宋_GB2312"/>
                <w:color w:val="000000"/>
              </w:rPr>
              <w:fldChar w:fldCharType="end"/>
            </w:r>
            <w:r>
              <w:rPr>
                <w:rFonts w:ascii="仿宋_GB2312" w:hAnsi="仿宋_GB2312" w:eastAsia="仿宋_GB2312" w:cs="仿宋_GB2312"/>
                <w:color w:val="000000"/>
              </w:rPr>
              <w:t>国务院第173次常务会议通过并于2007年4月22日中华人民共和国国务院令第495号公布的文件</w:t>
            </w:r>
            <w:r>
              <w:rPr>
                <w:rFonts w:hint="eastAsia" w:ascii="仿宋_GB2312" w:hAnsi="仿宋_GB2312" w:eastAsia="仿宋_GB2312" w:cs="仿宋_GB2312"/>
                <w:color w:val="00000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rPr>
                <w:rFonts w:ascii="仿宋_GB2312" w:hAnsi="仿宋_GB2312" w:eastAsia="仿宋_GB2312" w:cs="仿宋_GB2312"/>
                <w:color w:val="000000"/>
              </w:rPr>
            </w:pPr>
            <w:r>
              <w:rPr>
                <w:rFonts w:hint="eastAsia" w:ascii="仿宋_GB2312" w:hAnsi="仿宋_GB2312" w:eastAsia="仿宋_GB2312" w:cs="仿宋_GB2312"/>
                <w:color w:val="00000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48</w:t>
            </w:r>
          </w:p>
        </w:tc>
        <w:tc>
          <w:tcPr>
            <w:tcW w:w="735"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color w:val="000000"/>
              </w:rPr>
              <w:t>其他行政权力</w:t>
            </w:r>
          </w:p>
        </w:tc>
        <w:tc>
          <w:tcPr>
            <w:tcW w:w="705"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color w:val="000000"/>
              </w:rPr>
              <w:t>房地产开发企业二级资质核定初审</w:t>
            </w:r>
          </w:p>
        </w:tc>
        <w:tc>
          <w:tcPr>
            <w:tcW w:w="485" w:type="dxa"/>
            <w:vAlign w:val="center"/>
          </w:tcPr>
          <w:p>
            <w:pPr>
              <w:numPr>
                <w:ilvl w:val="0"/>
                <w:numId w:val="13"/>
              </w:numPr>
              <w:jc w:val="both"/>
              <w:rPr>
                <w:rFonts w:ascii="仿宋_GB2312" w:hAnsi="仿宋_GB2312" w:eastAsia="仿宋_GB2312" w:cs="仿宋_GB2312"/>
                <w:color w:val="000000"/>
              </w:rPr>
            </w:pPr>
            <w:r>
              <w:rPr>
                <w:rFonts w:hint="eastAsia" w:ascii="仿宋_GB2312" w:hAnsi="仿宋_GB2312" w:eastAsia="仿宋_GB2312" w:cs="仿宋_GB2312"/>
                <w:color w:val="000000"/>
              </w:rPr>
              <w:t>无</w:t>
            </w:r>
          </w:p>
        </w:tc>
        <w:tc>
          <w:tcPr>
            <w:tcW w:w="3295"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color w:val="000000"/>
              </w:rPr>
              <w:t xml:space="preserve">  【法规】《城市房地产开发经营管理条例》（1998年7月20日国务院令第248号，2010年12月29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      《房地产开发企业资质管理规定》（2000年3月29日建设部令第77号，2015年5月4日予以修改）第十一条：……二级资质及二级资质以下的审批办法由省、自治区、直辖市人民政府建设行政主管部门制定。……</w:t>
            </w:r>
          </w:p>
        </w:tc>
        <w:tc>
          <w:tcPr>
            <w:tcW w:w="2970"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b/>
                <w:bCs/>
                <w:color w:val="000000"/>
              </w:rPr>
              <w:t xml:space="preserve">   1.受理责任：</w:t>
            </w:r>
            <w:r>
              <w:rPr>
                <w:rFonts w:hint="eastAsia" w:ascii="仿宋_GB2312" w:hAnsi="仿宋_GB2312" w:eastAsia="仿宋_GB2312" w:cs="仿宋_GB2312"/>
                <w:color w:val="000000"/>
              </w:rPr>
              <w:t>公示依法应当提交的材料；一次性告知补正材料；依法受理或不予受理（不予受理的应当告知理由）。</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2.审查责任：</w:t>
            </w:r>
            <w:r>
              <w:rPr>
                <w:rFonts w:hint="eastAsia" w:ascii="仿宋_GB2312" w:hAnsi="仿宋_GB2312" w:eastAsia="仿宋_GB2312" w:cs="仿宋_GB2312"/>
                <w:color w:val="000000"/>
              </w:rPr>
              <w:t>依法对登记申报材料审核、提出预审意见。</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 xml:space="preserve"> 3.决定责任</w:t>
            </w:r>
            <w:r>
              <w:rPr>
                <w:rFonts w:hint="eastAsia" w:ascii="仿宋_GB2312" w:hAnsi="仿宋_GB2312" w:eastAsia="仿宋_GB2312" w:cs="仿宋_GB2312"/>
                <w:color w:val="000000"/>
              </w:rPr>
              <w:t>：作出准予或者不予登记的行政许可决定（不予登记的应当告知理由）。</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 xml:space="preserve"> 4.送达责任</w:t>
            </w:r>
            <w:r>
              <w:rPr>
                <w:rFonts w:hint="eastAsia" w:ascii="仿宋_GB2312" w:hAnsi="仿宋_GB2312" w:eastAsia="仿宋_GB2312" w:cs="仿宋_GB2312"/>
                <w:color w:val="000000"/>
              </w:rPr>
              <w:t>：制作并送达行政许可证件，信息公开。</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 xml:space="preserve"> 5.监管责任</w:t>
            </w:r>
            <w:r>
              <w:rPr>
                <w:rFonts w:hint="eastAsia" w:ascii="仿宋_GB2312" w:hAnsi="仿宋_GB2312" w:eastAsia="仿宋_GB2312" w:cs="仿宋_GB2312"/>
                <w:color w:val="000000"/>
              </w:rPr>
              <w:t>：建立健全监督制度，通过核查反映被许可人从事行政备案事项活动情况的有关材料，履行监督责任”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6.其他法律法规政策规定应履行的责任。</w:t>
            </w:r>
          </w:p>
        </w:tc>
        <w:tc>
          <w:tcPr>
            <w:tcW w:w="4950" w:type="dxa"/>
            <w:vAlign w:val="center"/>
          </w:tcPr>
          <w:p>
            <w:pPr>
              <w:numPr>
                <w:ilvl w:val="0"/>
                <w:numId w:val="14"/>
              </w:numPr>
              <w:jc w:val="both"/>
              <w:rPr>
                <w:rFonts w:ascii="仿宋_GB2312" w:hAnsi="仿宋_GB2312" w:eastAsia="仿宋_GB2312" w:cs="仿宋_GB2312"/>
                <w:color w:val="000000"/>
              </w:rPr>
            </w:pPr>
            <w:r>
              <w:rPr>
                <w:rFonts w:hint="eastAsia" w:ascii="仿宋_GB2312" w:hAnsi="仿宋_GB2312" w:eastAsia="仿宋_GB2312" w:cs="仿宋_GB2312"/>
                <w:color w:val="000000"/>
              </w:rPr>
              <w:t xml:space="preserve">【法律】《中华人民共和国行政许可法》（第十届全国人民代表大会常务委员会第四次会议于2003年8月27日通过，自2004年7月1日起施行）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2-1.【法律】《中华人民共和国行政许可法》（第十届全国人民代表大会常务委员会第四次会议于2003年8月27日通过，自2004年7月1日起施行）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2-2.【法律】《中华人民共和国行政许可法》（第十届全国人民代表大会常务委员会第四次会议于2003年8月27日通过，自2004年7月1日起施行）第三十六条：“行政机关对行政许可申请进行审查时，发现行政许可事项直接关系他人重大利益的，应当告知该利害关系人。申请人、利害关系人有权进行陈述和申辩。行政机关应当听取申请人、利害关系人的意见。”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3-1.【法律】《中华人民共和国行政许可法》（第十届全国人民代表大会常务委员会第四次会议于2003年8月27日通过，自2004年7月1日起施行）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3-2.【法律】《中华人民共和国行政许可法》（第十届全国人民代表大会常务委员会第四次会议于2003年8月27日通过，自2004年7月1日起施行）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4-1.【法律】《中华人民共和国行政许可法》（第十届全国人民代表大会常务委员会第四次会议于2003年8月27日通过，自2004年7月1日起施行）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4-2.【法律】《中华人民共和国行政许可法》（第十届全国人民代表大会常务委员会第四次会议于2003年8月27日通过，自2004年7月1日起施行）第四十条：“ 行政机关作出的准予行政许可决定，应当予以公开，公众有权查阅。”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5.【法律】《中华人民共和国行政许可法》（第十届全国人民代表大会常务委员会第四次会议于2003年8月27日通过，自2004年7月1日起施行）第六十一条:"行政机关应当建立健全监督制度，通过核查反映被许可人从事行政许可事项活动情况的有关材料，履行监督责任”</w:t>
            </w:r>
          </w:p>
          <w:p>
            <w:pPr>
              <w:jc w:val="both"/>
              <w:rPr>
                <w:rFonts w:ascii="仿宋_GB2312" w:hAnsi="仿宋_GB2312" w:eastAsia="仿宋_GB2312" w:cs="仿宋_GB2312"/>
                <w:color w:val="000000"/>
              </w:rPr>
            </w:pPr>
            <w:r>
              <w:rPr>
                <w:rFonts w:hint="eastAsia" w:ascii="仿宋_GB2312" w:hAnsi="仿宋_GB2312" w:eastAsia="仿宋_GB2312" w:cs="仿宋_GB2312"/>
                <w:color w:val="000000"/>
              </w:rPr>
              <w:t>6.其他法律法规</w:t>
            </w:r>
          </w:p>
        </w:tc>
        <w:tc>
          <w:tcPr>
            <w:tcW w:w="1515" w:type="dxa"/>
            <w:vAlign w:val="center"/>
          </w:tcPr>
          <w:p>
            <w:pPr>
              <w:numPr>
                <w:ilvl w:val="0"/>
                <w:numId w:val="13"/>
              </w:numPr>
              <w:jc w:val="both"/>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因不履行或不正确履行行政职责，有下列情形的，行政机关及相关工作人员应当承担相应责任：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1、对符合法定条件的申请不予受理或者不在法定期限内核发商品房预售许可证的；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2、对不符合法定条件的申请人发放商品房预售许可证或者超越法定职权发放商品房预售许可证的；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3、没有法律、法规的依据，向房地产开发企业收费的；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4、玩忽职守、滥用职权，徇私舞弊的；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5、利用职务上的便利，索取他人财物，或者非法收受他人财物为他人谋取利益的；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6、其他违反法律法规政策规定的行为。</w:t>
            </w:r>
          </w:p>
        </w:tc>
        <w:tc>
          <w:tcPr>
            <w:tcW w:w="4858"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color w:val="000000"/>
              </w:rPr>
              <w:t>【法律】《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法律】《中华人民共和国行政许可法》（第十届全国人民代表大会常务委员会第四次会议于2003年8月27日通过，自2004年7月1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3.【法规】《广西壮族自治区行政过错责任追究办法》（2007年4月17日自治区第十届人民政府第63次常务会议审议通过，自2007年6月1日起施行）（五）未在法定期限内办结行政审批事项；</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4.【法规】《行政机关公务员处分条例》第二十一条　有下列行为之一的，给予警告或者记过处分；情节较重的，给予记大过或者降级处分；情节严重的，给予撤职处分：</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（一）在行政许可工作中违反法定权限、条件和程序设定或者实施行政许可的；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法律】《中华人民共和国行政许可法》（第十届全国人民代表大会常务委员会第四次会议于2003年8月27日通过，自2004年7月1日起施行）第七十三条“行政机关工作人员办理行政许可、实施监督检查，索取或者收受他人财物或者谋取其他利益，构成犯罪的，依法追究刑事责任；尚不构成犯罪的，依法给予行政处分。”6.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对城市桥梁进行养护维修情况及城市桥梁施工控制范围内的施工作业情况的监督</w:t>
            </w:r>
          </w:p>
        </w:tc>
        <w:tc>
          <w:tcPr>
            <w:tcW w:w="48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jc w:val="both"/>
              <w:rPr>
                <w:rFonts w:ascii="仿宋_GB2312" w:hAnsi="仿宋_GB2312" w:eastAsia="仿宋_GB2312" w:cs="仿宋_GB2312"/>
                <w:snapToGrid w:val="0"/>
                <w:color w:val="000000"/>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spacing w:line="240" w:lineRule="exact"/>
              <w:ind w:firstLine="400" w:firstLineChars="200"/>
              <w:rPr>
                <w:rFonts w:ascii="仿宋_GB2312" w:hAnsi="仿宋_GB2312" w:eastAsia="仿宋_GB2312" w:cs="Times New Roman"/>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Times New Roman"/>
              </w:rPr>
            </w:pPr>
            <w:r>
              <w:rPr>
                <w:rFonts w:ascii="仿宋_GB2312" w:hAnsi="仿宋_GB2312" w:eastAsia="仿宋_GB2312" w:cs="仿宋_GB2312"/>
              </w:rPr>
              <w:t xml:space="preserve">6. </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日起施行）第二十九条城市人民政府市政设施行政主管部门工作人员玩忽职守、滥用职权、徇私舞弊的，应当依法给予行政处分。</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50</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工程档案认可文件的出具</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修正）第八条：列入城建档案馆档案接收范围的工程，建设单位在组织竣工验收前，应当提请城建档案管理机构对工程进行预验收。预验收合格后，由城建档案管理机构出具工程档案认可文件。第九条 建设单位在取得工程档案认可文件后，方可组织竣工验收。建设行政主管部门在办理竣工验收备案时，应当查验工程档案认可文件。</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 xml:space="preserve">修正）第九条 建设单位在取得工程档案认可文件后，方可组织工程竣工验收。建设行政主管部门在办理竣工验收备案时，应当查验工程档案认可文件。 </w:t>
            </w:r>
          </w:p>
          <w:p>
            <w:pPr>
              <w:rPr>
                <w:rFonts w:ascii="仿宋_GB2312" w:hAnsi="仿宋_GB2312" w:eastAsia="仿宋_GB2312" w:cs="仿宋_GB2312"/>
              </w:rPr>
            </w:pPr>
            <w:r>
              <w:rPr>
                <w:rFonts w:hint="eastAsia" w:ascii="仿宋_GB2312" w:hAnsi="仿宋_GB2312" w:eastAsia="仿宋_GB2312" w:cs="仿宋_GB2312"/>
              </w:rPr>
              <w:t xml:space="preserve">　　第十条　建设系统各专业管理部门形成的业务管理和业务技术档案，凡具有永久保存价值的，在本单位保管使用一至五年后，按本规定全部向城建档案馆移交。有长期保存价值的档案，由城建档案馆根据城市建设的需要选择接收。 </w:t>
            </w:r>
          </w:p>
          <w:p>
            <w:pPr>
              <w:ind w:firstLine="405"/>
              <w:rPr>
                <w:rFonts w:ascii="仿宋_GB2312" w:hAnsi="仿宋_GB2312" w:eastAsia="仿宋_GB2312" w:cs="仿宋_GB2312"/>
              </w:rPr>
            </w:pPr>
            <w:r>
              <w:rPr>
                <w:rFonts w:hint="eastAsia" w:ascii="仿宋_GB2312" w:hAnsi="仿宋_GB2312" w:eastAsia="仿宋_GB2312" w:cs="仿宋_GB2312"/>
              </w:rPr>
              <w:t>城市地下管线普查和补测补绘形成的地下管线档案应当在普查、测绘结束后三个月内接收进馆。地下管线专业管理单位每年应当向城建档案馆报送更改、报废、漏测部分的管线现状图和资料。</w:t>
            </w:r>
          </w:p>
          <w:p>
            <w:pPr>
              <w:ind w:firstLine="405"/>
              <w:rPr>
                <w:rFonts w:ascii="仿宋_GB2312" w:hAnsi="仿宋_GB2312" w:eastAsia="仿宋_GB2312" w:cs="仿宋_GB2312"/>
              </w:rPr>
            </w:pPr>
            <w:r>
              <w:rPr>
                <w:rFonts w:hint="eastAsia" w:ascii="仿宋_GB2312" w:hAnsi="仿宋_GB2312" w:eastAsia="仿宋_GB2312" w:cs="仿宋_GB2312"/>
              </w:rPr>
              <w:t xml:space="preserve">第十一条　城建档案馆对接收的档案应当及时登记、整理，编制检索工具。做好档案的保管、保护工作，对破损或者变质的档案应当及时抢救。特别重要的城建档案应当采取有效措施，确保其安全无损。 </w:t>
            </w:r>
          </w:p>
          <w:p>
            <w:pPr>
              <w:ind w:firstLine="405"/>
              <w:rPr>
                <w:rFonts w:ascii="仿宋_GB2312" w:hAnsi="仿宋_GB2312" w:eastAsia="仿宋_GB2312" w:cs="仿宋_GB2312"/>
              </w:rPr>
            </w:pPr>
            <w:r>
              <w:rPr>
                <w:rFonts w:hint="eastAsia" w:ascii="仿宋_GB2312" w:hAnsi="仿宋_GB2312" w:eastAsia="仿宋_GB2312" w:cs="仿宋_GB2312"/>
              </w:rPr>
              <w:t>城建档案馆应当积极开发档案信息资源，并按照国家的有关规定，向社会提供服务。</w:t>
            </w:r>
          </w:p>
          <w:p>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5"/>
              </w:numPr>
              <w:ind w:firstLine="405"/>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51</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房地产开发项目转让价格和商品房销售价格备案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2.不履行或不正确履行房地产开发项目转让价格和商品房销售价格备案权力，造成不良后果的。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52</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商品房现售备案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【规章】《商品房销售管理办法》(建设部令第88号）第八条：房地产开发企业企业应当在商品房现售前将房地产开发项目手册及符合商品房现售条件的有关证明文件报送房地产开发主管部门备案。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1.【规章】《商品房销售管理办法》(建设部令第88号）第八条：房地产开发企业企业应当在商品房现售前将房地产开发项目手册及符合商品房现售条件的有关证明文件报送房地产开发主管部门备案。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2.不履行或不正确履行商品房现售合同登记备案权力，造成不良后果的。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53</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签发房地产开发项目建设条件意见书</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1.【规章】《广西壮族自治区城市房地产开发经营管理条例》（2004年7月31日广西壮族自治区第十届人民代表大会常务委员会第九次会议通过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54</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建设工程报建备案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color w:val="000000"/>
              </w:rPr>
            </w:pPr>
          </w:p>
        </w:tc>
        <w:tc>
          <w:tcPr>
            <w:tcW w:w="4950" w:type="dxa"/>
          </w:tcPr>
          <w:p>
            <w:pPr>
              <w:numPr>
                <w:ilvl w:val="0"/>
                <w:numId w:val="16"/>
              </w:numPr>
              <w:adjustRightInd w:val="0"/>
              <w:snapToGrid w:val="0"/>
              <w:rPr>
                <w:rFonts w:ascii="仿宋_GB2312" w:hAnsi="仿宋_GB2312" w:eastAsia="仿宋_GB2312" w:cs="仿宋_GB2312"/>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 “第十三条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2、</w:t>
            </w:r>
            <w:r>
              <w:rPr>
                <w:rFonts w:hint="eastAsia" w:ascii="仿宋_GB2312" w:hAnsi="仿宋_GB2312" w:eastAsia="仿宋_GB2312" w:cs="仿宋_GB2312"/>
                <w:b w:val="0"/>
                <w:sz w:val="20"/>
                <w:szCs w:val="20"/>
              </w:rPr>
              <w:t>【法规】</w:t>
            </w:r>
            <w:r>
              <w:rPr>
                <w:rFonts w:hint="eastAsia" w:ascii="仿宋_GB2312" w:hAnsi="仿宋_GB2312" w:eastAsia="仿宋_GB2312" w:cs="仿宋_GB2312"/>
                <w:b w:val="0"/>
                <w:sz w:val="20"/>
                <w:szCs w:val="20"/>
                <w:shd w:val="clear" w:color="auto" w:fill="FFFFFF"/>
              </w:rPr>
              <w:t xml:space="preserve">《工程建设项目报建管理办法》 第四条   工程建设项目的报建内容主要包括：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（一）工程名称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（二）建设地点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（三）投资规模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（四）资金来源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（五）当年投资额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（六）工程规模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（七）开工、竣工日期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（八）发包方式 </w:t>
            </w:r>
          </w:p>
          <w:p>
            <w:pPr>
              <w:pStyle w:val="2"/>
              <w:adjustRightInd w:val="0"/>
              <w:snapToGrid w:val="0"/>
              <w:spacing w:before="0" w:beforeAutospacing="0" w:after="0" w:afterAutospacing="0"/>
              <w:ind w:firstLine="40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（九）工程筹建情况 </w:t>
            </w:r>
          </w:p>
          <w:p>
            <w:pPr>
              <w:ind w:firstLine="400" w:firstLineChars="200"/>
              <w:rPr>
                <w:rFonts w:ascii="仿宋_GB2312" w:hAnsi="仿宋_GB2312" w:eastAsia="仿宋_GB2312" w:cs="仿宋_GB2312"/>
              </w:rPr>
            </w:pPr>
            <w:r>
              <w:rPr>
                <w:rFonts w:hint="eastAsia" w:ascii="仿宋_GB2312" w:hAnsi="仿宋_GB2312" w:eastAsia="仿宋_GB2312" w:cs="仿宋_GB2312"/>
              </w:rPr>
              <w:t>3.根据《工程建设项目报建管理办法》第三条，建设工程报建备案需达到以下条件：</w:t>
            </w:r>
          </w:p>
          <w:p>
            <w:pPr>
              <w:ind w:firstLine="400" w:firstLineChars="200"/>
              <w:rPr>
                <w:rFonts w:ascii="仿宋_GB2312" w:hAnsi="仿宋_GB2312" w:eastAsia="仿宋_GB2312" w:cs="仿宋_GB2312"/>
              </w:rPr>
            </w:pPr>
            <w:r>
              <w:rPr>
                <w:rFonts w:hint="eastAsia" w:ascii="仿宋_GB2312" w:hAnsi="仿宋_GB2312" w:eastAsia="仿宋_GB2312" w:cs="仿宋_GB2312"/>
              </w:rPr>
              <w:t>（一）经发展和改革行政主管部门批准立项，列入年度固定资产投资计划；</w:t>
            </w:r>
          </w:p>
          <w:p>
            <w:pPr>
              <w:ind w:firstLine="400" w:firstLineChars="200"/>
              <w:rPr>
                <w:rFonts w:ascii="仿宋_GB2312" w:hAnsi="仿宋_GB2312" w:eastAsia="仿宋_GB2312" w:cs="仿宋_GB2312"/>
              </w:rPr>
            </w:pPr>
            <w:r>
              <w:rPr>
                <w:rFonts w:hint="eastAsia" w:ascii="仿宋_GB2312" w:hAnsi="仿宋_GB2312" w:eastAsia="仿宋_GB2312" w:cs="仿宋_GB2312"/>
              </w:rPr>
              <w:t>（二）建设资金已落实;</w:t>
            </w:r>
          </w:p>
          <w:p>
            <w:pPr>
              <w:ind w:firstLine="400" w:firstLineChars="200"/>
              <w:rPr>
                <w:rFonts w:ascii="仿宋_GB2312" w:hAnsi="仿宋_GB2312" w:eastAsia="仿宋_GB2312" w:cs="仿宋_GB2312"/>
              </w:rPr>
            </w:pPr>
            <w:r>
              <w:rPr>
                <w:rFonts w:hint="eastAsia" w:ascii="仿宋_GB2312" w:hAnsi="仿宋_GB2312" w:eastAsia="仿宋_GB2312" w:cs="仿宋_GB2312"/>
              </w:rPr>
              <w:t>（三）取得用地批准手续。</w:t>
            </w:r>
          </w:p>
          <w:p>
            <w:pPr>
              <w:ind w:firstLine="400"/>
              <w:rPr>
                <w:rFonts w:ascii="仿宋_GB2312" w:hAnsi="仿宋_GB2312" w:eastAsia="仿宋_GB2312" w:cs="仿宋_GB2312"/>
              </w:rPr>
            </w:pPr>
            <w:r>
              <w:rPr>
                <w:rFonts w:hint="eastAsia" w:ascii="仿宋_GB2312" w:hAnsi="仿宋_GB2312" w:eastAsia="仿宋_GB2312" w:cs="仿宋_GB2312"/>
              </w:rPr>
              <w:t>4.同1</w:t>
            </w:r>
          </w:p>
          <w:p>
            <w:pPr>
              <w:ind w:firstLine="400"/>
              <w:rPr>
                <w:rFonts w:ascii="仿宋_GB2312" w:hAnsi="仿宋_GB2312" w:eastAsia="仿宋_GB2312" w:cs="仿宋_GB2312"/>
              </w:rPr>
            </w:pPr>
            <w:r>
              <w:rPr>
                <w:rFonts w:hint="eastAsia" w:ascii="仿宋_GB2312" w:hAnsi="仿宋_GB2312" w:eastAsia="仿宋_GB2312" w:cs="仿宋_GB2312"/>
              </w:rPr>
              <w:t>5.其他法律法规</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p>
          <w:p>
            <w:pPr>
              <w:pStyle w:val="2"/>
              <w:adjustRightInd w:val="0"/>
              <w:snapToGrid w:val="0"/>
              <w:spacing w:before="0" w:beforeAutospacing="0" w:after="0" w:afterAutospacing="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施工图设计文件和工程勘察文件审查备案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jc w:val="both"/>
              <w:rPr>
                <w:rFonts w:ascii="仿宋_GB2312" w:hAnsi="仿宋_GB2312" w:eastAsia="仿宋_GB2312" w:cs="仿宋_GB2312"/>
                <w:snapToGrid w:val="0"/>
                <w:color w:val="000000"/>
              </w:rPr>
            </w:pPr>
            <w:r>
              <w:rPr>
                <w:rFonts w:hint="eastAsia" w:ascii="仿宋_GB2312" w:hAnsi="仿宋_GB2312" w:eastAsia="仿宋_GB2312" w:cs="仿宋_GB2312"/>
              </w:rPr>
              <w:t>【规章】《房屋建筑和市政基础设施工程施工图设计文件审查管理办法》（2013年4月27日住房城乡建设部令第13号公布，自2013年8月1日起施行的）第十三条第（一）项规定，审查机构应当在出具审查合格书后5个工作日内，将审查情况报工程所在地县级以上地方人民政府住房城乡建设主管部门备案。</w:t>
            </w:r>
          </w:p>
        </w:tc>
        <w:tc>
          <w:tcPr>
            <w:tcW w:w="2970" w:type="dxa"/>
            <w:vAlign w:val="center"/>
          </w:tcPr>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spacing w:line="240" w:lineRule="atLeast"/>
              <w:jc w:val="both"/>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vAlign w:val="center"/>
          </w:tcPr>
          <w:p>
            <w:pPr>
              <w:spacing w:line="240" w:lineRule="atLeast"/>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【规范性文件】</w:t>
            </w:r>
            <w:r>
              <w:rPr>
                <w:rFonts w:hint="eastAsia" w:ascii="仿宋_GB2312" w:hAnsi="仿宋_GB2312" w:eastAsia="仿宋_GB2312" w:cs="仿宋_GB2312"/>
              </w:rPr>
              <w:t>《房屋建筑和市政基础设施工程施工图设计文件审查管理办法》（2013年4月27日住房城乡建设部令第13号公布，自2013年8月1日起施行的）第四条第三款“市、县人民政府建设主管部门负责对本行政区域内的施工图审查工作实施日常监督管理，并接受省、自治区、直辖市人民政府建设主管部 门的指导和监督。”</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2.同1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3.同1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4.同1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atLeast"/>
              <w:jc w:val="both"/>
              <w:rPr>
                <w:rFonts w:ascii="仿宋_GB2312" w:hAnsi="仿宋_GB2312" w:eastAsia="仿宋_GB2312" w:cs="仿宋_GB2312"/>
              </w:rPr>
            </w:pPr>
          </w:p>
          <w:p>
            <w:pPr>
              <w:adjustRightInd w:val="0"/>
              <w:snapToGrid w:val="0"/>
              <w:spacing w:line="240" w:lineRule="atLeast"/>
              <w:jc w:val="both"/>
              <w:rPr>
                <w:rFonts w:ascii="仿宋_GB2312" w:hAnsi="仿宋_GB2312" w:eastAsia="仿宋_GB2312" w:cs="仿宋_GB2312"/>
                <w:snapToGrid w:val="0"/>
                <w:color w:val="000000"/>
              </w:rPr>
            </w:pP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4.【规范性文件】《房屋建筑和市政基础设施工程施工图设计文件审查管理办法》第二十九条　国家机关工作人员在施工图审查监督管理工作中玩忽职守、滥用职权、徇私舞弊，构成犯罪的，依法追究刑事责任；尚不构成犯罪的，依法给予行政处分。</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240" w:lineRule="atLeas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56</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建筑工程和市政工程勘察进场报告备案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w:t>
            </w:r>
            <w:bookmarkStart w:id="0" w:name="OLE_LINK2"/>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bookmarkEnd w:id="0"/>
            <w:r>
              <w:rPr>
                <w:rFonts w:hint="eastAsia" w:ascii="仿宋_GB2312" w:hAnsi="仿宋_GB2312" w:eastAsia="仿宋_GB2312" w:cs="仿宋_GB2312"/>
              </w:rPr>
              <w:t>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w:t>
            </w:r>
            <w:bookmarkStart w:id="1" w:name="OLE_LINK1"/>
            <w:r>
              <w:rPr>
                <w:rFonts w:hint="eastAsia" w:ascii="仿宋_GB2312" w:hAnsi="仿宋_GB2312" w:eastAsia="仿宋_GB2312" w:cs="仿宋_GB2312"/>
              </w:rPr>
              <w:t>二〇一一年六月二十四日</w:t>
            </w:r>
            <w:bookmarkEnd w:id="1"/>
            <w:r>
              <w:rPr>
                <w:rFonts w:hint="eastAsia" w:ascii="仿宋_GB2312" w:hAnsi="仿宋_GB2312" w:eastAsia="仿宋_GB2312" w:cs="仿宋_GB2312"/>
              </w:rPr>
              <w:t>桂建设[2011]10号）第二条、加强对工程勘察现场钻探的监管  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2970"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1.【规章】《建设工程勘察设计管理条例》的决定（2000年9月25日中华人民共和国国务院令第293号公布　根据2015年6月12日《国务院关于修改〈建设工程勘察设计管理条例〉的决定》修订）第五条　县级以上人民政府建设行政主管部门和交通、水利等有关部门应当依照本条例的规定，加强对建设工程勘察、设计活动的监督管理。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二〇一一年六月二十四日桂建设[2011]10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858" w:type="dxa"/>
          </w:tcPr>
          <w:p>
            <w:pPr>
              <w:numPr>
                <w:ilvl w:val="0"/>
                <w:numId w:val="1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numPr>
                <w:ilvl w:val="0"/>
                <w:numId w:val="18"/>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【行政法规】《关于修改&lt;建设工程勘察设计管理条例&gt;的决定》（国务院令第662号）第六章　罚　　则      第四十三条　国家机关工作人员在建设工程勘察、设计活动的监督管理工作中玩忽职守、滥用职权、徇私舞弊，构成犯罪的，依法追究刑事责任；尚不构成犯罪的，依法给予行政处分。</w:t>
            </w:r>
          </w:p>
          <w:p>
            <w:pPr>
              <w:numPr>
                <w:ilvl w:val="0"/>
                <w:numId w:val="18"/>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57</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eastAsia="方正书宋_GBK"/>
              </w:rPr>
              <w:t>其他行政权力</w:t>
            </w:r>
          </w:p>
        </w:tc>
        <w:tc>
          <w:tcPr>
            <w:tcW w:w="705" w:type="dxa"/>
            <w:vAlign w:val="center"/>
          </w:tcPr>
          <w:p>
            <w:pPr>
              <w:rPr>
                <w:rFonts w:ascii="仿宋_GB2312" w:hAnsi="仿宋_GB2312" w:eastAsia="仿宋_GB2312" w:cs="仿宋_GB2312"/>
                <w:snapToGrid w:val="0"/>
                <w:color w:val="000000"/>
              </w:rPr>
            </w:pPr>
            <w:bookmarkStart w:id="2" w:name="OLE_LINK3"/>
            <w:r>
              <w:rPr>
                <w:rFonts w:hint="eastAsia" w:eastAsia="方正书宋_GBK"/>
              </w:rPr>
              <w:t>民用建筑能效测评标识的实施和监督</w:t>
            </w:r>
            <w:bookmarkEnd w:id="2"/>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vAlign w:val="center"/>
          </w:tcPr>
          <w:p>
            <w:pPr>
              <w:adjustRightInd w:val="0"/>
              <w:snapToGrid w:val="0"/>
              <w:spacing w:line="274" w:lineRule="exact"/>
              <w:ind w:firstLine="400" w:firstLineChars="200"/>
              <w:rPr>
                <w:rFonts w:eastAsia="方正书宋_GBK"/>
              </w:rPr>
            </w:pPr>
            <w:r>
              <w:rPr>
                <w:rFonts w:eastAsia="方正书宋_GBK"/>
              </w:rPr>
              <w:t>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w:t>
            </w:r>
          </w:p>
          <w:p>
            <w:pPr>
              <w:adjustRightInd w:val="0"/>
              <w:snapToGrid w:val="0"/>
              <w:spacing w:line="274" w:lineRule="exact"/>
              <w:ind w:firstLine="400" w:firstLineChars="200"/>
              <w:rPr>
                <w:rFonts w:eastAsia="方正书宋_GBK"/>
              </w:rPr>
            </w:pPr>
            <w:r>
              <w:rPr>
                <w:rFonts w:eastAsia="方正书宋_GBK"/>
              </w:rPr>
              <w:t>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74" w:lineRule="exact"/>
              <w:ind w:firstLine="400" w:firstLineChars="200"/>
              <w:rPr>
                <w:rFonts w:ascii="仿宋_GB2312" w:hAnsi="仿宋_GB2312" w:eastAsia="仿宋_GB2312" w:cs="仿宋_GB2312"/>
                <w:snapToGrid w:val="0"/>
                <w:color w:val="000000"/>
              </w:rPr>
            </w:pPr>
            <w:r>
              <w:rPr>
                <w:rFonts w:eastAsia="方正书宋_GBK"/>
              </w:rPr>
              <w:t>3.【规范性文件】《民用建筑能效测评标识管理暂行办法》（建科〔2008〕80号）第三条  本办法所称能效测评，是指对建筑能源消耗量及其用能系统效率等性能指标进行计算、检测，并给出其所处水平的活动。能效标识，是指依据能效测评结果，对建筑能耗相关信息向社会或产权所有人明示的活动。第六条  国务院建设主管部门负责全国民用建筑能效测评标识活动的实施和监督管理。地方县级以上人民政府建设主管部门负责本行政区域内民用建筑能效测评标识活动的实施和监督管理。地方县级以上人民政府建设主管部门可委托专门机构对建筑能效测评标识活动进行日常管理。第十二条  民用建筑能效测评标识的申请及发放分两个阶段进行：（一）建筑工程竣工验收合格后，建设单位或建筑所有权人通过所在地建设主管部门向省级建设主管部门提出民用建筑能效测评标识申请，省级建设主管部门依据建筑能效理论值核发建筑能效测评标识。（二）建筑项目取得建筑能效实测值后，建设单位或建筑所有权人通过该建筑所在地建设主管部门向省级建设主管部门申请更新能效测评标识。省级建设主管部门依据建筑能效实测值核发建筑能效测评标识。该标识有效期为5年。</w:t>
            </w:r>
          </w:p>
        </w:tc>
        <w:tc>
          <w:tcPr>
            <w:tcW w:w="2970" w:type="dxa"/>
            <w:vAlign w:val="center"/>
          </w:tcPr>
          <w:p>
            <w:pPr>
              <w:adjustRightInd w:val="0"/>
              <w:snapToGrid w:val="0"/>
              <w:spacing w:line="274" w:lineRule="exact"/>
              <w:ind w:firstLine="401" w:firstLineChars="200"/>
              <w:rPr>
                <w:rFonts w:eastAsia="方正书宋_GBK"/>
              </w:rPr>
            </w:pPr>
            <w:r>
              <w:rPr>
                <w:rFonts w:eastAsia="方正书宋_GBK"/>
                <w:b/>
              </w:rPr>
              <w:t>1．受理责任：</w:t>
            </w:r>
            <w:r>
              <w:rPr>
                <w:rFonts w:eastAsia="方正书宋_GBK"/>
              </w:rPr>
              <w:t>公示依法应当提交的材料；一次性告知补正材料；依法受理或者不予受理（不予受理应当告知理由）。</w:t>
            </w:r>
          </w:p>
          <w:p>
            <w:pPr>
              <w:adjustRightInd w:val="0"/>
              <w:snapToGrid w:val="0"/>
              <w:spacing w:line="274" w:lineRule="exact"/>
              <w:ind w:firstLine="401" w:firstLineChars="200"/>
              <w:rPr>
                <w:rFonts w:eastAsia="方正书宋_GBK"/>
              </w:rPr>
            </w:pPr>
            <w:r>
              <w:rPr>
                <w:rFonts w:eastAsia="方正书宋_GBK"/>
                <w:b/>
              </w:rPr>
              <w:t>2．审查责任：</w:t>
            </w:r>
            <w:r>
              <w:rPr>
                <w:rFonts w:eastAsia="方正书宋_GBK"/>
              </w:rPr>
              <w:t>组织相关专家进行材料审查（主要是对建筑能源消费情况、能源利用效率、节能目标完成情况和节能效益分析、节能措施，建筑能效理论值、建筑能效实测值等相关证明材料的审查）；有必要时，可组织现场检查；提出审核意见。</w:t>
            </w:r>
          </w:p>
          <w:p>
            <w:pPr>
              <w:adjustRightInd w:val="0"/>
              <w:snapToGrid w:val="0"/>
              <w:spacing w:line="274" w:lineRule="exact"/>
              <w:ind w:firstLine="401" w:firstLineChars="200"/>
              <w:rPr>
                <w:rFonts w:eastAsia="方正书宋_GBK"/>
              </w:rPr>
            </w:pPr>
            <w:r>
              <w:rPr>
                <w:rFonts w:eastAsia="方正书宋_GBK"/>
                <w:b/>
              </w:rPr>
              <w:t>3．决定责任：</w:t>
            </w:r>
            <w:r>
              <w:rPr>
                <w:rFonts w:eastAsia="方正书宋_GBK"/>
              </w:rPr>
              <w:t>提出审核结果，作出予以通过或不予通过决定，法定告知（不予通过的应当告知理由）；依法公示。</w:t>
            </w:r>
          </w:p>
          <w:p>
            <w:pPr>
              <w:adjustRightInd w:val="0"/>
              <w:snapToGrid w:val="0"/>
              <w:spacing w:line="274" w:lineRule="exact"/>
              <w:ind w:firstLine="401" w:firstLineChars="200"/>
              <w:rPr>
                <w:rFonts w:eastAsia="方正书宋_GBK"/>
              </w:rPr>
            </w:pPr>
            <w:r>
              <w:rPr>
                <w:rFonts w:eastAsia="方正书宋_GBK"/>
                <w:b/>
              </w:rPr>
              <w:t>4．送达责任：</w:t>
            </w:r>
            <w:r>
              <w:rPr>
                <w:rFonts w:eastAsia="方正书宋_GBK"/>
              </w:rPr>
              <w:t>发放建筑能效测评标识证书和标志；信息公开。</w:t>
            </w:r>
          </w:p>
          <w:p>
            <w:pPr>
              <w:adjustRightInd w:val="0"/>
              <w:snapToGrid w:val="0"/>
              <w:spacing w:line="274" w:lineRule="exact"/>
              <w:ind w:firstLine="401" w:firstLineChars="200"/>
              <w:rPr>
                <w:rFonts w:eastAsia="方正书宋_GBK"/>
              </w:rPr>
            </w:pPr>
            <w:r>
              <w:rPr>
                <w:rFonts w:eastAsia="方正书宋_GBK"/>
                <w:b/>
              </w:rPr>
              <w:t>5．监管责任：</w:t>
            </w:r>
            <w:r>
              <w:rPr>
                <w:rFonts w:eastAsia="方正书宋_GBK"/>
              </w:rPr>
              <w:t>加强用能单位能耗监测力度；规范第三方能耗测评机构管理制度；加强监督管理，查处违规行为。</w:t>
            </w:r>
          </w:p>
          <w:p>
            <w:pPr>
              <w:adjustRightInd w:val="0"/>
              <w:snapToGrid w:val="0"/>
              <w:spacing w:line="274" w:lineRule="exact"/>
              <w:ind w:firstLine="400" w:firstLineChars="200"/>
              <w:rPr>
                <w:rFonts w:ascii="仿宋_GB2312" w:hAnsi="仿宋_GB2312" w:eastAsia="仿宋_GB2312" w:cs="仿宋_GB2312"/>
                <w:snapToGrid w:val="0"/>
                <w:color w:val="000000"/>
              </w:rPr>
            </w:pPr>
            <w:r>
              <w:rPr>
                <w:rFonts w:eastAsia="方正书宋_GBK"/>
              </w:rPr>
              <w:t>6．其他法律法规规章文件规定应履行的责任。</w:t>
            </w:r>
          </w:p>
        </w:tc>
        <w:tc>
          <w:tcPr>
            <w:tcW w:w="4950" w:type="dxa"/>
            <w:vAlign w:val="center"/>
          </w:tcPr>
          <w:p>
            <w:pPr>
              <w:adjustRightInd w:val="0"/>
              <w:snapToGrid w:val="0"/>
              <w:spacing w:line="274" w:lineRule="exact"/>
              <w:ind w:firstLine="400" w:firstLineChars="200"/>
              <w:rPr>
                <w:rFonts w:eastAsia="方正书宋_GBK"/>
              </w:rPr>
            </w:pPr>
            <w:r>
              <w:rPr>
                <w:rFonts w:eastAsia="方正书宋_GBK"/>
              </w:rPr>
              <w:t>1-1．【规章】《广西壮族自治区行政执法程序规定》（1997年广西壮族自治区人民政府令第13号公布）第二十二条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74" w:lineRule="exact"/>
              <w:ind w:firstLine="400" w:firstLineChars="200"/>
              <w:rPr>
                <w:rFonts w:eastAsia="方正书宋_GBK"/>
              </w:rPr>
            </w:pPr>
            <w:r>
              <w:rPr>
                <w:rFonts w:eastAsia="方正书宋_GBK"/>
              </w:rPr>
              <w:t>1-2.【规范性文件】《民用建筑能效测评标识管理暂行办法》（建科〔2008〕80号）第九条  民用建筑能效测评分两个阶段进行：（一）建筑能效理论值…（二）建筑能效实测值…</w:t>
            </w:r>
          </w:p>
          <w:p>
            <w:pPr>
              <w:adjustRightInd w:val="0"/>
              <w:snapToGrid w:val="0"/>
              <w:spacing w:line="274" w:lineRule="exact"/>
              <w:ind w:firstLine="392" w:firstLineChars="200"/>
              <w:rPr>
                <w:rFonts w:eastAsia="方正书宋_GBK"/>
                <w:spacing w:val="-2"/>
              </w:rPr>
            </w:pPr>
            <w:r>
              <w:rPr>
                <w:rFonts w:eastAsia="方正书宋_GBK"/>
                <w:spacing w:val="-2"/>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274" w:lineRule="exact"/>
              <w:ind w:firstLine="400" w:firstLineChars="200"/>
              <w:rPr>
                <w:rFonts w:eastAsia="方正书宋_GBK"/>
              </w:rPr>
            </w:pPr>
            <w:r>
              <w:rPr>
                <w:rFonts w:eastAsia="方正书宋_GBK"/>
              </w:rPr>
              <w:t>2-2．【规章】《广西壮族自治区行政执法程序规定》（1997年广西壮族自治区人民政府令第13号公布）第二十五条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74" w:lineRule="exact"/>
              <w:ind w:firstLine="400" w:firstLineChars="200"/>
              <w:rPr>
                <w:rFonts w:eastAsia="方正书宋_GBK"/>
              </w:rPr>
            </w:pPr>
            <w:r>
              <w:rPr>
                <w:rFonts w:eastAsia="方正书宋_GBK"/>
              </w:rPr>
              <w:t>3-1.【规章】同2-2。</w:t>
            </w:r>
          </w:p>
          <w:p>
            <w:pPr>
              <w:adjustRightInd w:val="0"/>
              <w:snapToGrid w:val="0"/>
              <w:spacing w:line="274" w:lineRule="exact"/>
              <w:ind w:firstLine="400" w:firstLineChars="200"/>
              <w:rPr>
                <w:rFonts w:eastAsia="方正书宋_GBK"/>
              </w:rPr>
            </w:pPr>
            <w:r>
              <w:rPr>
                <w:rFonts w:eastAsia="方正书宋_GBK"/>
              </w:rPr>
              <w:t>3-2.【规范性文件】《民用建筑能效测评标识管理暂行办法》（建科〔2008〕80号）第十二条  民用建筑能效测评标识的申请及发放分两个阶段进行：…</w:t>
            </w:r>
          </w:p>
          <w:p>
            <w:pPr>
              <w:adjustRightInd w:val="0"/>
              <w:snapToGrid w:val="0"/>
              <w:spacing w:line="274" w:lineRule="exact"/>
              <w:ind w:firstLine="400" w:firstLineChars="200"/>
              <w:rPr>
                <w:rFonts w:eastAsia="方正书宋_GBK"/>
              </w:rPr>
            </w:pPr>
            <w:r>
              <w:rPr>
                <w:rFonts w:eastAsia="方正书宋_GBK"/>
              </w:rPr>
              <w:t>4-1.【法律】《中华人民共和国行政许可法》（2003年主席令第七号公布）第四十四条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274" w:lineRule="exact"/>
              <w:ind w:firstLine="400" w:firstLineChars="200"/>
              <w:rPr>
                <w:rFonts w:eastAsia="方正书宋_GBK"/>
              </w:rPr>
            </w:pPr>
            <w:r>
              <w:rPr>
                <w:rFonts w:eastAsia="方正书宋_GBK"/>
              </w:rPr>
              <w:t>4-2.【法规】《民用建筑节能条例》（2008年国务院令第530号公布）第二十一条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74" w:lineRule="exact"/>
              <w:ind w:firstLine="400" w:firstLineChars="200"/>
              <w:rPr>
                <w:rFonts w:eastAsia="方正书宋_GBK"/>
              </w:rPr>
            </w:pPr>
            <w:r>
              <w:rPr>
                <w:rFonts w:eastAsia="方正书宋_GBK"/>
              </w:rPr>
              <w:t>4-3.【规章】同2-2。</w:t>
            </w:r>
          </w:p>
          <w:p>
            <w:pPr>
              <w:adjustRightInd w:val="0"/>
              <w:snapToGrid w:val="0"/>
              <w:spacing w:line="274" w:lineRule="exact"/>
              <w:ind w:firstLine="400" w:firstLineChars="200"/>
              <w:rPr>
                <w:rFonts w:eastAsia="方正书宋_GBK"/>
              </w:rPr>
            </w:pPr>
            <w:r>
              <w:rPr>
                <w:rFonts w:eastAsia="方正书宋_GBK"/>
              </w:rPr>
              <w:t>4-4.【规范性文件】同3-2。</w:t>
            </w:r>
          </w:p>
          <w:p>
            <w:pPr>
              <w:adjustRightInd w:val="0"/>
              <w:snapToGrid w:val="0"/>
              <w:spacing w:line="274" w:lineRule="exact"/>
              <w:ind w:firstLine="400" w:firstLineChars="200"/>
              <w:rPr>
                <w:rFonts w:eastAsia="方正书宋_GBK"/>
              </w:rPr>
            </w:pPr>
            <w:r>
              <w:rPr>
                <w:rFonts w:eastAsia="方正书宋_GBK"/>
              </w:rPr>
              <w:t>5-1.【法律】《中华人民共和国节约能源法》（2007年主席令第七十七号公布，2016年主席令第四十八号修改）第五十四条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从事节能咨询、设计、评估、检测、审计、认证等服务的机构提供虚假信息的，由管理节能工作的部门责令改正，没收违法所得，并处五万元以上十万元以下罚款。第八十二条  重点用能单位未按照本法规定报送能源利用状况报告或者报告内容不实的，由管理节能工作的部门责令限期改正；逾期不改正的，处一万元以上五万元以下罚款。第八十三条  重点用能单位无正当理由拒不落实本法第五十四条规定的整改要求或者整改没有达到要求的，由管理节能工作的部门处十万元以上三十万元以下罚款。</w:t>
            </w:r>
          </w:p>
          <w:p>
            <w:pPr>
              <w:adjustRightInd w:val="0"/>
              <w:snapToGrid w:val="0"/>
              <w:spacing w:line="274" w:lineRule="exact"/>
              <w:ind w:firstLine="400" w:firstLineChars="200"/>
              <w:rPr>
                <w:rFonts w:ascii="仿宋_GB2312" w:hAnsi="仿宋_GB2312" w:eastAsia="仿宋_GB2312" w:cs="仿宋_GB2312"/>
                <w:snapToGrid w:val="0"/>
                <w:color w:val="000000"/>
              </w:rPr>
            </w:pPr>
            <w:r>
              <w:rPr>
                <w:rFonts w:eastAsia="方正书宋_GBK"/>
              </w:rPr>
              <w:t>5-2.【规范性文件】《民用建筑能效测评标识管理暂行办法》（建科〔2008〕80号）第八条  建筑能效测评机构应在获得建设主管部门资格认定后，从事建筑能效测评活动，并对</w:t>
            </w:r>
            <w:r>
              <w:rPr>
                <w:rFonts w:eastAsia="方正书宋_GBK"/>
                <w:spacing w:val="-2"/>
              </w:rPr>
              <w:t>能效测评结果的准确性和真实性负责。国家、省级建设主管部门应对其认定的建筑能效测评机构进行监督，并定期对其测评工作情况进行考核。第十八条  建筑的所有权人、使用人不得擅自拆除或者变更建筑物的能效标识。经查实，建设主管部门应当责令改正。第十九条  建设主管部门应当建立投诉受理和处理制度，公共投诉电话、通讯地址和电子邮箱，接收社会监督。</w:t>
            </w:r>
          </w:p>
        </w:tc>
        <w:tc>
          <w:tcPr>
            <w:tcW w:w="1515" w:type="dxa"/>
          </w:tcPr>
          <w:p>
            <w:pPr>
              <w:adjustRightInd w:val="0"/>
              <w:snapToGrid w:val="0"/>
              <w:spacing w:line="274" w:lineRule="exact"/>
              <w:ind w:firstLine="400" w:firstLineChars="200"/>
              <w:rPr>
                <w:rFonts w:eastAsia="方正书宋_GBK"/>
              </w:rPr>
            </w:pPr>
            <w:r>
              <w:rPr>
                <w:rFonts w:hint="eastAsia" w:eastAsia="方正书宋_GBK"/>
              </w:rPr>
              <w:t>因不履行或不正确履行行政职责，有下列情形的，行政机关及相关工作人员应承担相应责任：</w:t>
            </w:r>
          </w:p>
          <w:p>
            <w:pPr>
              <w:adjustRightInd w:val="0"/>
              <w:snapToGrid w:val="0"/>
              <w:spacing w:line="274" w:lineRule="exact"/>
              <w:ind w:firstLine="400" w:firstLineChars="200"/>
              <w:rPr>
                <w:rFonts w:eastAsia="方正书宋_GBK"/>
              </w:rPr>
            </w:pPr>
            <w:r>
              <w:rPr>
                <w:rFonts w:hint="eastAsia" w:eastAsia="方正书宋_GBK"/>
              </w:rPr>
              <w:t>1.符合法定备案条件的未受理、未办理的，不符合法定备案条件受理办理的。</w:t>
            </w:r>
          </w:p>
          <w:p>
            <w:pPr>
              <w:adjustRightInd w:val="0"/>
              <w:snapToGrid w:val="0"/>
              <w:spacing w:line="274" w:lineRule="exact"/>
              <w:ind w:firstLine="400" w:firstLineChars="200"/>
              <w:rPr>
                <w:rFonts w:eastAsia="方正书宋_GBK"/>
              </w:rPr>
            </w:pPr>
            <w:r>
              <w:rPr>
                <w:rFonts w:hint="eastAsia" w:eastAsia="方正书宋_GBK"/>
              </w:rPr>
              <w:t>2.不履行或不正确履行业主委员会的备案权力，造成不良后果的。</w:t>
            </w:r>
          </w:p>
          <w:p>
            <w:pPr>
              <w:adjustRightInd w:val="0"/>
              <w:snapToGrid w:val="0"/>
              <w:spacing w:line="274" w:lineRule="exact"/>
              <w:ind w:firstLine="400" w:firstLineChars="200"/>
              <w:rPr>
                <w:rFonts w:eastAsia="方正书宋_GBK"/>
              </w:rPr>
            </w:pPr>
            <w:r>
              <w:rPr>
                <w:rFonts w:hint="eastAsia" w:eastAsia="方正书宋_GBK"/>
              </w:rPr>
              <w:t xml:space="preserve">3.在审查监管中失职、渎职的。 </w:t>
            </w:r>
          </w:p>
          <w:p>
            <w:pPr>
              <w:adjustRightInd w:val="0"/>
              <w:snapToGrid w:val="0"/>
              <w:spacing w:line="274" w:lineRule="exact"/>
              <w:ind w:firstLine="400" w:firstLineChars="200"/>
              <w:rPr>
                <w:rFonts w:eastAsia="方正书宋_GBK"/>
              </w:rPr>
            </w:pPr>
            <w:r>
              <w:rPr>
                <w:rFonts w:hint="eastAsia" w:eastAsia="方正书宋_GBK"/>
              </w:rPr>
              <w:t>4.在备案中有接受宴请、钱物等腐败行为的。</w:t>
            </w:r>
          </w:p>
          <w:p>
            <w:pPr>
              <w:adjustRightInd w:val="0"/>
              <w:snapToGrid w:val="0"/>
              <w:spacing w:line="274" w:lineRule="exact"/>
              <w:ind w:firstLine="400" w:firstLineChars="200"/>
              <w:rPr>
                <w:rFonts w:ascii="仿宋_GB2312" w:hAnsi="仿宋_GB2312" w:eastAsia="仿宋_GB2312" w:cs="仿宋_GB2312"/>
                <w:snapToGrid w:val="0"/>
                <w:color w:val="000000"/>
              </w:rPr>
            </w:pPr>
            <w:r>
              <w:rPr>
                <w:rFonts w:hint="eastAsia" w:eastAsia="方正书宋_GBK"/>
              </w:rPr>
              <w:t xml:space="preserve">    5.其他法律法规规章文件规定应履行的责任。</w:t>
            </w:r>
          </w:p>
        </w:tc>
        <w:tc>
          <w:tcPr>
            <w:tcW w:w="4858" w:type="dxa"/>
          </w:tcPr>
          <w:p>
            <w:pPr>
              <w:adjustRightInd w:val="0"/>
              <w:snapToGrid w:val="0"/>
              <w:spacing w:line="274" w:lineRule="exact"/>
              <w:ind w:firstLine="400" w:firstLineChars="200"/>
              <w:rPr>
                <w:rFonts w:eastAsia="方正书宋_GBK"/>
              </w:rPr>
            </w:pPr>
            <w:r>
              <w:rPr>
                <w:rFonts w:hint="eastAsia" w:eastAsia="方正书宋_GBK"/>
              </w:rPr>
              <w:t xml:space="preserve">1.《行政机关公务员处分条例》第二十条有下列行为之一的，给予记过、记大过处分；情节较重的，给予降级或者撤职处分；情节严重的，给予开除处分：（四）其他玩忽职守、贻误工作的行为。                                        </w:t>
            </w:r>
          </w:p>
          <w:p>
            <w:pPr>
              <w:adjustRightInd w:val="0"/>
              <w:snapToGrid w:val="0"/>
              <w:spacing w:line="274" w:lineRule="exact"/>
              <w:ind w:firstLine="400" w:firstLineChars="200"/>
              <w:rPr>
                <w:rFonts w:eastAsia="方正书宋_GBK"/>
              </w:rPr>
            </w:pPr>
            <w:r>
              <w:rPr>
                <w:rFonts w:hint="eastAsia" w:eastAsia="方正书宋_GBK"/>
              </w:rPr>
              <w:t>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74" w:lineRule="exact"/>
              <w:ind w:firstLine="400" w:firstLineChars="200"/>
              <w:rPr>
                <w:rFonts w:ascii="仿宋_GB2312" w:hAnsi="仿宋_GB2312" w:eastAsia="仿宋_GB2312" w:cs="仿宋_GB2312"/>
                <w:color w:val="000000"/>
              </w:rPr>
            </w:pPr>
            <w:r>
              <w:rPr>
                <w:rFonts w:hint="eastAsia" w:eastAsia="方正书宋_GBK"/>
              </w:rPr>
              <w:t>4.《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vAlign w:val="center"/>
          </w:tcPr>
          <w:p>
            <w:pPr>
              <w:adjustRightInd w:val="0"/>
              <w:snapToGrid w:val="0"/>
              <w:spacing w:line="286" w:lineRule="exact"/>
              <w:rPr>
                <w:rFonts w:ascii="仿宋_GB2312" w:hAnsi="仿宋_GB2312" w:eastAsia="仿宋_GB2312" w:cs="仿宋_GB2312"/>
                <w:snapToGrid w:val="0"/>
                <w:color w:val="000000"/>
              </w:rPr>
            </w:pPr>
            <w:r>
              <w:rPr>
                <w:rFonts w:hint="eastAsia" w:eastAsia="方正书宋_GBK"/>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58</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rPr>
              <w:t>单位售房款使用</w:t>
            </w:r>
          </w:p>
        </w:tc>
        <w:tc>
          <w:tcPr>
            <w:tcW w:w="485" w:type="dxa"/>
          </w:tcPr>
          <w:p>
            <w:pPr>
              <w:adjustRightInd w:val="0"/>
              <w:snapToGrid w:val="0"/>
              <w:spacing w:line="320" w:lineRule="exact"/>
              <w:rPr>
                <w:rFonts w:ascii="仿宋_GB2312" w:hAnsi="仿宋_GB2312" w:eastAsia="仿宋_GB2312" w:cs="仿宋_GB2312"/>
                <w:snapToGrid w:val="0"/>
                <w:color w:val="000000"/>
              </w:rPr>
            </w:pP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tc>
        <w:tc>
          <w:tcPr>
            <w:tcW w:w="2970" w:type="dxa"/>
            <w:vAlign w:val="center"/>
          </w:tcPr>
          <w:p>
            <w:pPr>
              <w:adjustRightInd w:val="0"/>
              <w:snapToGrid w:val="0"/>
              <w:ind w:firstLine="401" w:firstLineChars="200"/>
              <w:jc w:val="both"/>
              <w:rPr>
                <w:rFonts w:eastAsia="方正书宋_GBK"/>
              </w:rPr>
            </w:pPr>
            <w:r>
              <w:rPr>
                <w:rFonts w:eastAsia="方正书宋_GBK"/>
                <w:b/>
              </w:rPr>
              <w:t>1.</w:t>
            </w:r>
            <w:r>
              <w:rPr>
                <w:rFonts w:hint="eastAsia" w:eastAsia="方正书宋_GBK"/>
                <w:b/>
              </w:rPr>
              <w:t>受理责任：</w:t>
            </w:r>
            <w:r>
              <w:rPr>
                <w:rFonts w:hint="eastAsia" w:eastAsia="方正书宋_GBK"/>
              </w:rPr>
              <w:t>按照事项条件、标准、审核申报材料是否齐全、是否符合单位售房款使用的条件，决定是否受理。</w:t>
            </w:r>
          </w:p>
          <w:p>
            <w:pPr>
              <w:adjustRightInd w:val="0"/>
              <w:snapToGrid w:val="0"/>
              <w:ind w:firstLine="401" w:firstLineChars="200"/>
              <w:jc w:val="both"/>
              <w:rPr>
                <w:rFonts w:eastAsia="方正书宋_GBK"/>
              </w:rPr>
            </w:pPr>
            <w:r>
              <w:rPr>
                <w:rFonts w:eastAsia="方正书宋_GBK"/>
                <w:b/>
              </w:rPr>
              <w:t>2.</w:t>
            </w:r>
            <w:r>
              <w:rPr>
                <w:rFonts w:hint="eastAsia" w:eastAsia="方正书宋_GBK"/>
                <w:b/>
              </w:rPr>
              <w:t>审核责任：</w:t>
            </w:r>
            <w:r>
              <w:rPr>
                <w:rFonts w:hint="eastAsia" w:eastAsia="方正书宋_GBK"/>
              </w:rPr>
              <w:t>按照办理条件和标准，对符合条件的项目，提出同意的审查意见；对不符合条件的，退回申报材料。</w:t>
            </w:r>
          </w:p>
          <w:p>
            <w:pPr>
              <w:adjustRightInd w:val="0"/>
              <w:snapToGrid w:val="0"/>
              <w:ind w:firstLine="401" w:firstLineChars="200"/>
              <w:jc w:val="both"/>
              <w:rPr>
                <w:rFonts w:eastAsia="方正书宋_GBK"/>
              </w:rPr>
            </w:pPr>
            <w:r>
              <w:rPr>
                <w:rFonts w:eastAsia="方正书宋_GBK"/>
                <w:b/>
              </w:rPr>
              <w:t>3.</w:t>
            </w:r>
            <w:r>
              <w:rPr>
                <w:rFonts w:hint="eastAsia" w:eastAsia="方正书宋_GBK"/>
                <w:b/>
              </w:rPr>
              <w:t>登记责任：</w:t>
            </w:r>
            <w:r>
              <w:rPr>
                <w:rFonts w:hint="eastAsia" w:eastAsia="方正书宋_GBK"/>
              </w:rPr>
              <w:t>对符合单位售房款使用条件的单位，向申报单位出具同意使用售房款的书面文书。</w:t>
            </w:r>
          </w:p>
          <w:p>
            <w:pPr>
              <w:adjustRightInd w:val="0"/>
              <w:snapToGrid w:val="0"/>
              <w:spacing w:line="320" w:lineRule="exact"/>
              <w:ind w:firstLine="400" w:firstLineChars="200"/>
              <w:jc w:val="both"/>
              <w:rPr>
                <w:rFonts w:ascii="仿宋_GB2312" w:hAnsi="仿宋_GB2312" w:eastAsia="仿宋_GB2312" w:cs="仿宋_GB2312"/>
                <w:snapToGrid w:val="0"/>
                <w:color w:val="000000"/>
              </w:rPr>
            </w:pPr>
            <w:r>
              <w:rPr>
                <w:rFonts w:eastAsia="方正书宋_GBK"/>
              </w:rPr>
              <w:t>4.</w:t>
            </w:r>
            <w:r>
              <w:rPr>
                <w:rFonts w:hint="eastAsia" w:eastAsia="方正书宋_GBK"/>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p>
            <w:pPr>
              <w:adjustRightInd w:val="0"/>
              <w:snapToGrid w:val="0"/>
              <w:jc w:val="both"/>
              <w:rPr>
                <w:rFonts w:eastAsia="方正书宋_GBK"/>
              </w:rPr>
            </w:pPr>
            <w:r>
              <w:rPr>
                <w:rFonts w:eastAsia="方正书宋_GBK"/>
              </w:rPr>
              <w:t>2.</w:t>
            </w:r>
            <w:r>
              <w:rPr>
                <w:rFonts w:hint="eastAsia" w:eastAsia="方正书宋_GBK"/>
              </w:rPr>
              <w:t>同1；</w:t>
            </w:r>
          </w:p>
          <w:p>
            <w:pPr>
              <w:adjustRightInd w:val="0"/>
              <w:snapToGrid w:val="0"/>
              <w:spacing w:line="266" w:lineRule="exact"/>
              <w:jc w:val="both"/>
              <w:rPr>
                <w:rFonts w:ascii="仿宋_GB2312" w:hAnsi="仿宋_GB2312" w:eastAsia="仿宋_GB2312" w:cs="仿宋_GB2312"/>
                <w:color w:val="000000"/>
              </w:rPr>
            </w:pPr>
            <w:r>
              <w:rPr>
                <w:rFonts w:eastAsia="方正书宋_GBK"/>
              </w:rPr>
              <w:t>3.</w:t>
            </w:r>
            <w:r>
              <w:rPr>
                <w:rFonts w:hint="eastAsia" w:eastAsia="方正书宋_GBK"/>
              </w:rPr>
              <w:t>同1。</w:t>
            </w:r>
          </w:p>
          <w:p>
            <w:pPr>
              <w:adjustRightInd w:val="0"/>
              <w:snapToGrid w:val="0"/>
              <w:spacing w:line="320" w:lineRule="exact"/>
              <w:jc w:val="both"/>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因不履行或不正确履行行政职责，有下列情形的，行政机关及相关工作人员应承担相应责任：</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符合法定条件的未受理、未办理的，不符合法定条件受理办理的。</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在审查监管中失职、渎职的。</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在备案中有接受宴请、钱物等腐败行为的。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color w:val="000000"/>
              </w:rPr>
              <w:t>4.</w:t>
            </w:r>
            <w:r>
              <w:rPr>
                <w:rFonts w:hint="eastAsia" w:ascii="仿宋_GB2312" w:hAnsi="仿宋_GB2312" w:eastAsia="仿宋_GB2312" w:cs="仿宋_GB2312"/>
                <w:color w:val="000000"/>
              </w:rPr>
              <w:t>其他法律法规规章文件规定应履行的责任。</w:t>
            </w:r>
          </w:p>
        </w:tc>
        <w:tc>
          <w:tcPr>
            <w:tcW w:w="4858" w:type="dxa"/>
            <w:vAlign w:val="center"/>
          </w:tcPr>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 xml:space="preserve"> 1.</w:t>
            </w:r>
            <w:r>
              <w:rPr>
                <w:rFonts w:hint="eastAsia" w:ascii="仿宋_GB2312" w:hAnsi="仿宋_GB2312" w:eastAsia="仿宋_GB2312" w:cs="仿宋_GB2312"/>
                <w:color w:val="000000"/>
              </w:rPr>
              <w:t>《行政机关公务员处分条例》第二十条有下列行为之一的，给予记过、记大过处分；情节较重的，给予降级或者撤职处分；情节严重的，给予开除处分：（四）其他玩忽职守、贻误工作的行为。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同</w:t>
            </w:r>
            <w:r>
              <w:rPr>
                <w:rFonts w:ascii="仿宋_GB2312" w:hAnsi="仿宋_GB2312" w:eastAsia="仿宋_GB2312" w:cs="仿宋_GB2312"/>
                <w:color w:val="000000"/>
              </w:rPr>
              <w:t>1.</w:t>
            </w:r>
          </w:p>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color w:val="000000"/>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eastAsia="仿宋_GB2312"/>
                <w:snapToGrid w:val="0"/>
                <w:color w:val="000000"/>
                <w:sz w:val="24"/>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59</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燃气经营企业停业、歇业批准</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 xml:space="preserve"> 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不履行或不正确履行燃气经营企业停业、歇业批准权力，造成不良后果的。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60</w:t>
            </w:r>
          </w:p>
        </w:tc>
        <w:tc>
          <w:tcPr>
            <w:tcW w:w="73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指定临时挖掘城市道路恢复工作专业队伍</w:t>
            </w:r>
          </w:p>
        </w:tc>
        <w:tc>
          <w:tcPr>
            <w:tcW w:w="48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2.【规章】《关于广西</w:t>
            </w:r>
            <w:r>
              <w:rPr>
                <w:rFonts w:hint="eastAsia" w:ascii="仿宋_GB2312" w:hAnsi="仿宋_GB2312" w:eastAsia="仿宋_GB2312" w:cs="仿宋_GB2312"/>
                <w:lang w:eastAsia="zh-CN"/>
              </w:rPr>
              <w:t>壮族</w:t>
            </w:r>
            <w:bookmarkStart w:id="7" w:name="_GoBack"/>
            <w:bookmarkEnd w:id="7"/>
            <w:r>
              <w:rPr>
                <w:rFonts w:hint="eastAsia" w:ascii="仿宋_GB2312" w:hAnsi="仿宋_GB2312" w:eastAsia="仿宋_GB2312" w:cs="仿宋_GB2312"/>
              </w:rPr>
              <w:t>自治区城市道路挖掘收费管理的有关规定》第八条：为保证被挖掘道路的修复质量，城市道路挖掘后的修复工作应由市政工程行政主管部门指定的有相应资质的专业队伍负责。</w:t>
            </w:r>
          </w:p>
        </w:tc>
        <w:tc>
          <w:tcPr>
            <w:tcW w:w="297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告知相关单位应由具备资质的单位进行市政道路的维修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决定责任</w:t>
            </w:r>
            <w:r>
              <w:rPr>
                <w:rFonts w:hint="eastAsia" w:ascii="仿宋_GB2312" w:hAnsi="仿宋_GB2312" w:eastAsia="仿宋_GB2312" w:cs="仿宋_GB2312"/>
              </w:rPr>
              <w:t>：决定市政道路由哪家有资质的单位进行维修。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监管责任</w:t>
            </w:r>
            <w:r>
              <w:rPr>
                <w:rFonts w:hint="eastAsia" w:ascii="仿宋_GB2312" w:hAnsi="仿宋_GB2312" w:eastAsia="仿宋_GB2312" w:cs="仿宋_GB2312"/>
              </w:rPr>
              <w:t>：对维修的工作进行监管。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1.符合法定批准条件的未受理、未办理的，不符合法定批准条件受理办理的。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2.不履行或不正确履行批准权力，造成不良后果的。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4.在审查中有接受宴请、钱物等腐败行为的。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p>
            <w:pPr>
              <w:adjustRightInd w:val="0"/>
              <w:snapToGrid w:val="0"/>
              <w:spacing w:line="320" w:lineRule="exact"/>
              <w:rPr>
                <w:rFonts w:ascii="仿宋_GB2312" w:hAnsi="仿宋_GB2312" w:eastAsia="仿宋_GB2312" w:cs="仿宋_GB2312"/>
              </w:rPr>
            </w:pP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w:t>
            </w:r>
            <w:r>
              <w:rPr>
                <w:rFonts w:ascii="仿宋_GB2312" w:hAnsi="仿宋_GB2312" w:eastAsia="仿宋_GB2312" w:cs="仿宋_GB2312"/>
              </w:rPr>
              <w:t>63</w:t>
            </w:r>
            <w:r>
              <w:rPr>
                <w:rFonts w:hint="eastAsia" w:ascii="仿宋_GB2312" w:hAnsi="仿宋_GB2312" w:eastAsia="仿宋_GB2312" w:cs="仿宋_GB2312"/>
              </w:rPr>
              <w:t>次常务会议审议通过，自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日起施行）（五）未在法定期限内办结行政审批事项；</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【法规】《行政机关公务员处分条例》第二十一条　有下列行为之一的，给予警告或者记过处分；情节较重的，给予记大过或者降级处分；情节严重的，给予撤职处分：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（一）在行政许可工作中违反法定权限、条件和程序设定或者实施行政许可的；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日起施行）第七十三条“行政机关工作人员办理行政许可、实施监督检查，索取或者收受他人财物或者谋取其他利益，构成犯罪的，依法追究刑事责任；尚不构成犯罪的，依法给予行政处分。”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61</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依法必须进行招标项目因情况特殊可以不进行招标审批</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lang w:eastAsia="zh-CN"/>
              </w:rPr>
              <w:t>中华人民共和国招标投标法</w:t>
            </w:r>
            <w:r>
              <w:rPr>
                <w:rFonts w:hint="eastAsia" w:ascii="仿宋_GB2312" w:hAnsi="仿宋_GB2312" w:eastAsia="仿宋_GB2312" w:cs="仿宋_GB2312"/>
              </w:rPr>
              <w:t>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条规定的规避招标。</w:t>
            </w:r>
          </w:p>
          <w:p>
            <w:pPr>
              <w:snapToGrid w:val="0"/>
              <w:ind w:left="1" w:firstLine="398" w:firstLineChars="199"/>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2001年5月31日发布施行）第十条　工程有下列情形之一的，经县级以上地方人民政府建设行政主管部门批准，可以不进行施工招标：（一）停建或者缓建后恢复建设的单位工程，且承包人未发生变更的；（二）施工企业自建自用的工程，且该施工企业资质等级符合工程要求的；（三）在建工程追加的附属小型工程或者主体加层工程，且承包人未发生变更的；（四）法律、法规、规章规定的其他情形。</w:t>
            </w:r>
          </w:p>
          <w:p>
            <w:pPr>
              <w:rPr>
                <w:rFonts w:ascii="仿宋_GB2312" w:hAnsi="仿宋_GB2312" w:eastAsia="仿宋_GB2312" w:cs="仿宋_GB2312"/>
              </w:rPr>
            </w:pPr>
          </w:p>
          <w:p>
            <w:pPr>
              <w:rPr>
                <w:rFonts w:ascii="仿宋_GB2312" w:hAnsi="仿宋_GB2312" w:eastAsia="仿宋_GB2312" w:cs="仿宋_GB2312"/>
                <w:snapToGrid w:val="0"/>
                <w:color w:val="00000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rPr>
                <w:rFonts w:ascii="仿宋_GB2312" w:hAnsi="仿宋_GB2312" w:eastAsia="仿宋_GB2312" w:cs="仿宋_GB2312"/>
                <w:snapToGrid w:val="0"/>
                <w:color w:val="000000"/>
              </w:rPr>
            </w:pPr>
          </w:p>
        </w:tc>
        <w:tc>
          <w:tcPr>
            <w:tcW w:w="4950" w:type="dxa"/>
          </w:tcPr>
          <w:p>
            <w:pPr>
              <w:shd w:val="clear" w:color="auto" w:fill="FFFFFF"/>
              <w:spacing w:line="360" w:lineRule="atLeast"/>
              <w:ind w:firstLine="480"/>
              <w:rPr>
                <w:rFonts w:ascii="Arial" w:hAnsi="Arial"/>
                <w:color w:val="333333"/>
                <w:sz w:val="21"/>
                <w:szCs w:val="21"/>
              </w:rPr>
            </w:pPr>
            <w:r>
              <w:rPr>
                <w:rFonts w:hint="eastAsia" w:ascii="仿宋_GB2312" w:hAnsi="仿宋_GB2312" w:eastAsia="仿宋_GB2312" w:cs="仿宋_GB2312"/>
              </w:rPr>
              <w:t>1.【规章】《工程建设项目施工招标投标办法》（</w:t>
            </w:r>
            <w:r>
              <w:rPr>
                <w:rFonts w:ascii="仿宋_GB2312" w:hAnsi="仿宋_GB2312" w:eastAsia="仿宋_GB2312" w:cs="仿宋_GB2312"/>
              </w:rPr>
              <w:t>七部委2003</w:t>
            </w:r>
            <w:r>
              <w:rPr>
                <w:rFonts w:hint="eastAsia" w:ascii="仿宋_GB2312" w:hAnsi="仿宋_GB2312" w:eastAsia="仿宋_GB2312" w:cs="仿宋_GB2312"/>
              </w:rPr>
              <w:t>年第</w:t>
            </w:r>
            <w:r>
              <w:rPr>
                <w:rFonts w:ascii="仿宋_GB2312" w:hAnsi="仿宋_GB2312" w:eastAsia="仿宋_GB2312" w:cs="仿宋_GB2312"/>
              </w:rPr>
              <w:t>30号令</w:t>
            </w:r>
            <w:r>
              <w:rPr>
                <w:rFonts w:hint="eastAsia" w:ascii="仿宋_GB2312" w:hAnsi="仿宋_GB2312" w:eastAsia="仿宋_GB2312" w:cs="仿宋_GB2312"/>
              </w:rPr>
              <w:t>，</w:t>
            </w:r>
            <w:r>
              <w:rPr>
                <w:rFonts w:ascii="仿宋_GB2312" w:hAnsi="仿宋_GB2312" w:eastAsia="仿宋_GB2312" w:cs="仿宋_GB2312"/>
              </w:rPr>
              <w:t>2003年5月1日起</w:t>
            </w:r>
            <w:r>
              <w:rPr>
                <w:rFonts w:hint="eastAsia" w:ascii="仿宋_GB2312" w:hAnsi="仿宋_GB2312" w:eastAsia="仿宋_GB2312" w:cs="仿宋_GB2312"/>
              </w:rPr>
              <w:t>施行，</w:t>
            </w:r>
            <w:r>
              <w:rPr>
                <w:rFonts w:ascii="仿宋_GB2312" w:hAnsi="仿宋_GB2312" w:eastAsia="仿宋_GB2312" w:cs="仿宋_GB2312"/>
              </w:rPr>
              <w:t>九部委2013年第23号令</w:t>
            </w:r>
            <w:r>
              <w:rPr>
                <w:rFonts w:hint="eastAsia" w:ascii="仿宋_GB2312" w:hAnsi="仿宋_GB2312" w:eastAsia="仿宋_GB2312" w:cs="仿宋_GB2312"/>
              </w:rPr>
              <w:t>修改）第十二条，行政审批条件是必须进行招标的项目中，按照国家有关规定需要履行项目审批手续且具有下列情形之一的，经批准可以不进行招标:</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（一）涉及国家安全、国家秘密或者抢险救灾而不适宜招标的;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（二）利用扶贫资金实行以工代赈需要使用农民工的;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（三）建设项目的勘察、设计和施工主要技术，采用特定专利或者专有技术的，或者其建筑艺术造型有特殊要求的;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（四）承包商、供应商或者服务提供者少于3家，不能形成有效竞争的;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（五）施工企业自建自用的工程，且该施工企业资质等级符合工程要求的；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（六）在建工程追加的附属小型工程或者主体加层工程，原中标人仍具备承包能力的；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（七）停建或者缓建后恢复建设的单位工程，且承包人未发生变更的；</w:t>
            </w:r>
          </w:p>
          <w:p>
            <w:pPr>
              <w:ind w:left="1" w:firstLine="398" w:firstLineChars="199"/>
              <w:rPr>
                <w:rFonts w:ascii="仿宋_GB2312" w:hAnsi="仿宋_GB2312" w:eastAsia="仿宋_GB2312" w:cs="仿宋_GB2312"/>
              </w:rPr>
            </w:pPr>
            <w:r>
              <w:rPr>
                <w:rFonts w:hint="eastAsia" w:ascii="仿宋_GB2312" w:hAnsi="仿宋_GB2312" w:eastAsia="仿宋_GB2312" w:cs="仿宋_GB2312"/>
              </w:rPr>
              <w:t>（八）已通过招标方式选定的特许经营项目投资人依法能够自行建设、生产或者提供的；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（九）法律法规规定的不适宜招标的其它情形。</w:t>
            </w:r>
          </w:p>
          <w:p>
            <w:pP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rPr>
                <w:rFonts w:ascii="仿宋_GB2312" w:hAnsi="仿宋_GB2312" w:eastAsia="仿宋_GB2312" w:cs="仿宋_GB2312"/>
                <w:snapToGrid w:val="0"/>
                <w:color w:val="000000"/>
              </w:rPr>
            </w:pPr>
            <w:r>
              <w:rPr>
                <w:rFonts w:hint="eastAsia" w:ascii="仿宋_GB2312" w:hAnsi="仿宋_GB2312" w:eastAsia="仿宋_GB2312" w:cs="仿宋_GB2312"/>
                <w:snapToGrid w:val="0"/>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1.符合法定批准条件的未受理、未办理的，不符合法定批准条件受理办理的。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2.不履行或不正确履行批准权力，造成不良后果的。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4.在批准中有接受宴请、钱物等腐败行为的。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62</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依法必须进行招标项目的招标方式、招标组织形式等招标内容核准</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p>
            <w:pPr>
              <w:rPr>
                <w:rFonts w:ascii="仿宋_GB2312" w:hAnsi="仿宋_GB2312" w:eastAsia="仿宋_GB2312" w:cs="仿宋_GB2312"/>
                <w:snapToGrid w:val="0"/>
                <w:color w:val="00000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color w:val="000000"/>
              </w:rPr>
            </w:pPr>
          </w:p>
        </w:tc>
        <w:tc>
          <w:tcPr>
            <w:tcW w:w="4950" w:type="dxa"/>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七条、第八条第二款，按照国家有关规定需要履行项目审批、核准手续的依法必须进行招标的项目，其招标范围、招标方式、招标组织形式应当报项目审批、核准部门审批、核准。其他项目由招标人申请有关行政监督部门作出认定。</w:t>
            </w:r>
          </w:p>
          <w:p>
            <w:pPr>
              <w:tabs>
                <w:tab w:val="left" w:pos="900"/>
              </w:tabs>
              <w:ind w:firstLine="400" w:firstLineChars="200"/>
              <w:rPr>
                <w:rFonts w:ascii="仿宋_GB2312" w:hAnsi="仿宋_GB2312" w:eastAsia="仿宋_GB2312" w:cs="仿宋_GB2312"/>
                <w:spacing w:val="8"/>
              </w:rPr>
            </w:pPr>
            <w:r>
              <w:rPr>
                <w:rFonts w:hint="eastAsia" w:ascii="仿宋_GB2312" w:hAnsi="仿宋_GB2312" w:eastAsia="仿宋_GB2312" w:cs="仿宋_GB2312"/>
                <w:snapToGrid w:val="0"/>
              </w:rPr>
              <w:t>2.</w:t>
            </w:r>
            <w:r>
              <w:rPr>
                <w:rFonts w:hint="eastAsia" w:ascii="仿宋_GB2312" w:hAnsi="仿宋_GB2312" w:eastAsia="仿宋_GB2312" w:cs="仿宋_GB2312"/>
              </w:rPr>
              <w:t>【规章】《广西壮族自治区实施〈中华人民共和国招标投标法〉办法》</w:t>
            </w:r>
            <w:r>
              <w:rPr>
                <w:rFonts w:hint="eastAsia" w:ascii="仿宋_GB2312" w:hAnsi="仿宋_GB2312" w:eastAsia="仿宋_GB2312" w:cs="仿宋_GB2312"/>
                <w:spacing w:val="8"/>
              </w:rPr>
              <w:t>（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 第五条第一款：“工程建设项目属于关系社会公共利益、公共安全的基础设施项目、公用事业项目，使用国有资金投资项目，国家融资项目，或者使用国际组织、外国政府资金的项目的，包括项目的勘察、设计、施工、监理以及与工程建设有关的重要设备、材料等的采购，达到下列标准之一的，必须进行招标:1.施工单项合同估算价在200万元人民币以上的; 2.重要设备、材料等货物的采购，单项合同估算价在100万元人民币以上的; 3.勘察、设计、监理等服务的采购，单项合同估算价在50万元人民币以上的; 4.单项合同估算价低于第1、2、3项规定的标准，但项目总投资额在3000万元人民币以上的。”</w:t>
            </w:r>
          </w:p>
          <w:p>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3.【规章】《广西壮族自治区实施〈中华人民共和国招标投标法〉办法》（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pPr>
              <w:tabs>
                <w:tab w:val="left" w:pos="900"/>
              </w:tabs>
              <w:rPr>
                <w:rFonts w:ascii="仿宋_GB2312" w:hAnsi="仿宋_GB2312" w:eastAsia="仿宋_GB2312" w:cs="仿宋_GB2312"/>
                <w:spacing w:val="8"/>
              </w:rPr>
            </w:pPr>
            <w:r>
              <w:rPr>
                <w:rFonts w:hint="eastAsia" w:ascii="仿宋_GB2312" w:hAnsi="仿宋_GB2312" w:eastAsia="仿宋_GB2312" w:cs="仿宋_GB2312"/>
                <w:spacing w:val="8"/>
              </w:rPr>
              <w:t>） 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（一）技术复杂、有特殊要求或者受自然环境限制，只有少量潜在投标人可供选择；（二）采用公开招标方式的费用占项目合同金额的比例过大。”第十三条 “全部使用国有资金投资或者国有资金投资占控股或者主导地位的工程建设项目，以及国务院发展和改革行政主管部门确定的国家重点建设项目和自治区人民政府确定的地方重点建设项目，应当公开招标；有下列情形之一的，经本办法第十一条规定的审批部门批准，可以进行邀请招标： （一）因技术复杂、专业性强，只有少数几家具备资质条 件的潜在投标人可供选择的； （二）涉及专利权保护的; （三）受自然地域条件限制的； （四）重要设备的规格，事先难以确定的； （五）拟公开招标费用与项目价值相比，不值得公开招标的； （六）法律法规规定的不适宜公开招标的其他情形。”</w:t>
            </w:r>
          </w:p>
          <w:p>
            <w:pPr>
              <w:numPr>
                <w:ilvl w:val="0"/>
                <w:numId w:val="19"/>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同2</w:t>
            </w:r>
          </w:p>
          <w:p>
            <w:pPr>
              <w:numPr>
                <w:ilvl w:val="0"/>
                <w:numId w:val="19"/>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同3</w:t>
            </w:r>
          </w:p>
          <w:p>
            <w:pPr>
              <w:numPr>
                <w:ilvl w:val="0"/>
                <w:numId w:val="19"/>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其他法律法规</w:t>
            </w:r>
          </w:p>
          <w:p>
            <w:pPr>
              <w:adjustRightInd w:val="0"/>
              <w:snapToGrid w:val="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2.不履行或不正确履行竣工验收备案权力，造成不良后果的。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63</w:t>
            </w:r>
          </w:p>
        </w:tc>
        <w:tc>
          <w:tcPr>
            <w:tcW w:w="735" w:type="dxa"/>
            <w:vMerge w:val="restart"/>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建设工程质量和安全监督登记</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1.建设工程施工安全措施备案</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：受理登记申请，并告知申请人办理备案的相关事项。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numPr>
                <w:ilvl w:val="0"/>
                <w:numId w:val="20"/>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【规章】《建设工程安全生产管理条例》(已经2003年11月12日国务院第28次常务会议中华人民共和国国务院令第393号通过，现予公布，自2004年2月1日起施行)第十条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p>
            <w:pPr>
              <w:numPr>
                <w:ilvl w:val="0"/>
                <w:numId w:val="20"/>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5.其他法律法规</w:t>
            </w: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snapToGrid w:val="0"/>
              </w:rPr>
              <w:t>1.</w:t>
            </w:r>
            <w:r>
              <w:rPr>
                <w:rFonts w:hint="eastAsia" w:ascii="仿宋_GB2312" w:hAnsi="仿宋_GB2312" w:eastAsia="仿宋_GB2312" w:cs="仿宋_GB2312"/>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w:t>
            </w:r>
            <w:r>
              <w:rPr>
                <w:rFonts w:hint="eastAsia" w:ascii="仿宋_GB2312" w:hAnsi="仿宋_GB2312" w:eastAsia="仿宋_GB2312" w:cs="仿宋_GB2312"/>
                <w:snapToGrid w:val="0"/>
              </w:rPr>
              <w:t>，给予开除处分.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2.建设工程质量、安全监督登记</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【行政法规】《建设工程质量管理条例》（2000年1月10日国务院第25次常务会议通过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272"/>
        <w:gridCol w:w="3023"/>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gridSpan w:val="2"/>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64</w:t>
            </w:r>
          </w:p>
        </w:tc>
        <w:tc>
          <w:tcPr>
            <w:tcW w:w="735" w:type="dxa"/>
            <w:vMerge w:val="restart"/>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建筑起重机械和整体提升脚手架、模板等自升式架设设施登记</w:t>
            </w:r>
          </w:p>
        </w:tc>
        <w:tc>
          <w:tcPr>
            <w:tcW w:w="757" w:type="dxa"/>
            <w:gridSpan w:val="2"/>
            <w:vAlign w:val="center"/>
          </w:tcPr>
          <w:p>
            <w:pPr>
              <w:spacing w:line="220" w:lineRule="exact"/>
              <w:rPr>
                <w:rFonts w:ascii="仿宋_GB2312" w:hAnsi="仿宋_GB2312" w:eastAsia="仿宋_GB2312" w:cs="仿宋_GB2312"/>
                <w:snapToGrid w:val="0"/>
                <w:color w:val="000000"/>
              </w:rPr>
            </w:pPr>
            <w:r>
              <w:rPr>
                <w:rFonts w:hint="eastAsia" w:ascii="仿宋_GB2312" w:hAnsi="仿宋_GB2312" w:eastAsia="仿宋_GB2312" w:cs="仿宋_GB2312"/>
              </w:rPr>
              <w:t>1.施工起重机械和整体提升脚手架、模板等自升式架设设施验收合格登记</w:t>
            </w:r>
          </w:p>
        </w:tc>
        <w:tc>
          <w:tcPr>
            <w:tcW w:w="3023"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登记标志应当置于或者附着于该设备的显著位置。” </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757" w:type="dxa"/>
            <w:gridSpan w:val="2"/>
            <w:vAlign w:val="center"/>
          </w:tcPr>
          <w:p>
            <w:pPr>
              <w:spacing w:line="220" w:lineRule="exact"/>
              <w:rPr>
                <w:rFonts w:ascii="仿宋_GB2312" w:hAnsi="仿宋_GB2312" w:eastAsia="仿宋_GB2312" w:cs="仿宋_GB2312"/>
                <w:snapToGrid w:val="0"/>
                <w:color w:val="000000"/>
              </w:rPr>
            </w:pPr>
            <w:r>
              <w:rPr>
                <w:rFonts w:hint="eastAsia" w:ascii="仿宋_GB2312" w:hAnsi="仿宋_GB2312" w:eastAsia="仿宋_GB2312" w:cs="仿宋_GB2312"/>
              </w:rPr>
              <w:t>2.建筑起重机械安装、拆卸告知、使用注销登记</w:t>
            </w:r>
          </w:p>
        </w:tc>
        <w:tc>
          <w:tcPr>
            <w:tcW w:w="3023"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1.【规章】《建筑起重机械安全监督管理规定》(已于2008年1月8日经建设部第145次常务会议讨论通过，现予发布，自2008年6月1日起施行)第十七条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65</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市政公用事业特许经营项目评估结果备案</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【规章】建设部《</w:t>
            </w:r>
            <w:bookmarkStart w:id="3" w:name="OLE_LINK4"/>
            <w:r>
              <w:rPr>
                <w:rFonts w:hint="eastAsia" w:ascii="仿宋_GB2312" w:hAnsi="仿宋_GB2312" w:eastAsia="仿宋_GB2312" w:cs="仿宋_GB2312"/>
              </w:rPr>
              <w:t>关于加强市政公用事业监管的意</w:t>
            </w:r>
            <w:bookmarkEnd w:id="3"/>
            <w:r>
              <w:rPr>
                <w:rFonts w:hint="eastAsia" w:ascii="仿宋_GB2312" w:hAnsi="仿宋_GB2312" w:eastAsia="仿宋_GB2312" w:cs="仿宋_GB2312"/>
              </w:rPr>
              <w:t>见》（</w:t>
            </w:r>
            <w:r>
              <w:rPr>
                <w:rFonts w:ascii="宋体 ，Arial" w:hAnsi="宋体 ，Arial" w:eastAsia="宋体 ，Arial" w:cs="宋体 ，Arial"/>
                <w:color w:val="000000"/>
                <w:sz w:val="18"/>
                <w:szCs w:val="18"/>
              </w:rPr>
              <w:t>2005年09月10日</w:t>
            </w:r>
            <w:r>
              <w:rPr>
                <w:rFonts w:hint="eastAsia" w:ascii="仿宋_GB2312" w:hAnsi="仿宋_GB2312" w:eastAsia="仿宋_GB2312" w:cs="仿宋_GB2312"/>
              </w:rPr>
              <w:t>建城〔2005〕154号）（三）加强产品和服务质量的监督检查。产品和服务质量监管是市政公用事业监管的重要内容。市政公用事业主管部门应定期对市政公用事业的产品和服务质量进行检验、检测和检查。</w:t>
            </w:r>
          </w:p>
          <w:p>
            <w:pPr>
              <w:spacing w:line="240" w:lineRule="exact"/>
              <w:rPr>
                <w:rFonts w:ascii="仿宋_GB2312" w:hAnsi="仿宋_GB2312" w:eastAsia="仿宋_GB2312" w:cs="仿宋_GB2312"/>
              </w:rPr>
            </w:pPr>
            <w:r>
              <w:rPr>
                <w:rFonts w:hint="eastAsia" w:ascii="仿宋_GB2312" w:hAnsi="仿宋_GB2312" w:eastAsia="仿宋_GB2312" w:cs="仿宋_GB2312"/>
              </w:rPr>
              <w:t>　　城市市政公用事业主管部门要按照有关产品和服务质量标准的要求，建立市政公用事业产品和服务质量监测制度，对企业提供的产品和服务质量实施定点、定时监测。监测结果要按有关规定报上级主管部门。</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要加强对特许经营项目的评估工作，建立定期评估机制。对评估中发现的产品和服务质量问题，要提出整改意见并监督企业限期整改。评估的结果应与费用支付和价格调整挂钩。评估结果要及时报上一级主管部门备案。</w:t>
            </w: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1-1【规章】《市政公用事业特许经营管理办法》（建设部令第126号）第二十条主管部门应当在特许经营协议签订后30日内，将协议报上一级市政公用事业主管部门备案。</w:t>
            </w:r>
          </w:p>
          <w:p>
            <w:pPr>
              <w:rPr>
                <w:rFonts w:ascii="仿宋_GB2312" w:hAnsi="仿宋_GB2312" w:eastAsia="仿宋_GB2312" w:cs="仿宋_GB2312"/>
              </w:rPr>
            </w:pPr>
            <w:r>
              <w:rPr>
                <w:rFonts w:hint="eastAsia" w:ascii="仿宋_GB2312" w:hAnsi="仿宋_GB2312" w:eastAsia="仿宋_GB2312" w:cs="仿宋_GB2312"/>
              </w:rPr>
              <w:t>1-2【规章】建设部《关于加强市政公用事业监管的意见》（建城〔2005〕154号）“（一）……市政公用事业主管部门要及时同中标者签订特许经营协议，授予特许经营权，同时，报上一级主管部门备案。各地要制定和完善市场退出规则，明确规定市场退出的申请和批准程序。经营期限届满，应按照准入程序和准入条件，重新进行招标。”</w:t>
            </w:r>
          </w:p>
          <w:p>
            <w:pPr>
              <w:rPr>
                <w:rFonts w:ascii="仿宋_GB2312" w:hAnsi="仿宋_GB2312" w:eastAsia="仿宋_GB2312" w:cs="仿宋_GB2312"/>
              </w:rPr>
            </w:pPr>
            <w:r>
              <w:rPr>
                <w:rFonts w:hint="eastAsia" w:ascii="仿宋_GB2312" w:hAnsi="仿宋_GB2312" w:eastAsia="仿宋_GB2312" w:cs="仿宋_GB2312"/>
              </w:rPr>
              <w:t>　　（二）完善特许经营制度。特许经营制度是市政公用事业市场化的主要实现形式，要逐步通过立法的形式明确特许经营的法律地位。要按照《市政公用事业特许经营管理办法》的要求，具体落实市场准入和退出、特许经营权招标投标、特许经营项目中期评估、特殊情况下临时接管、对违规企业的披露、公众监督与参与、上级主管部门备案等规定，完善特许经营制度。</w:t>
            </w:r>
          </w:p>
          <w:p>
            <w:pPr>
              <w:rPr>
                <w:rFonts w:ascii="仿宋_GB2312" w:hAnsi="仿宋_GB2312" w:eastAsia="仿宋_GB2312" w:cs="仿宋_GB2312"/>
              </w:rPr>
            </w:pPr>
            <w:r>
              <w:rPr>
                <w:rFonts w:hint="eastAsia" w:ascii="仿宋_GB2312" w:hAnsi="仿宋_GB2312" w:eastAsia="仿宋_GB2312" w:cs="仿宋_GB2312"/>
              </w:rPr>
              <w:t>　　市政公用事业特许经营协议是界定协议双方权利与义务的法律文件，是对特许经营行为进行监管的重要依据。实施特许经营的项目必须签订特许经营协议，没有签订协议或协议不完善的，要及时补签和完善特许经营协议。</w:t>
            </w:r>
          </w:p>
          <w:p>
            <w:pPr>
              <w:ind w:firstLine="400"/>
              <w:rPr>
                <w:rFonts w:ascii="仿宋_GB2312" w:hAnsi="仿宋_GB2312" w:eastAsia="仿宋_GB2312" w:cs="仿宋_GB2312"/>
              </w:rPr>
            </w:pPr>
            <w:r>
              <w:rPr>
                <w:rFonts w:hint="eastAsia" w:ascii="仿宋_GB2312" w:hAnsi="仿宋_GB2312" w:eastAsia="仿宋_GB2312" w:cs="仿宋_GB2312"/>
              </w:rPr>
              <w:t>要充分发挥中介机构的作用。市政公用事业主管部门应组织或委托独立和符合条件的中介机构进行项目的招标、评估和产品质量检验、检测等。要引入竞争机制，择优选择中介机构。要加强对中介机构的监管，建立中介机构的评估制度，并及时向社会公布。</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66</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市政公用事业特许经营权事项监管</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w:t>
            </w:r>
            <w:bookmarkStart w:id="4" w:name="OLE_LINK6"/>
            <w:r>
              <w:rPr>
                <w:rFonts w:hint="eastAsia" w:ascii="仿宋_GB2312" w:hAnsi="仿宋_GB2312" w:eastAsia="仿宋_GB2312" w:cs="仿宋_GB2312"/>
              </w:rPr>
              <w:t>《</w:t>
            </w:r>
            <w:bookmarkStart w:id="5" w:name="OLE_LINK5"/>
            <w:r>
              <w:rPr>
                <w:rFonts w:hint="eastAsia" w:ascii="仿宋_GB2312" w:hAnsi="仿宋_GB2312" w:eastAsia="仿宋_GB2312" w:cs="仿宋_GB2312"/>
              </w:rPr>
              <w:t>市政公用事业特许经营管理办法</w:t>
            </w:r>
            <w:bookmarkEnd w:id="5"/>
            <w:r>
              <w:rPr>
                <w:rFonts w:hint="eastAsia" w:ascii="仿宋_GB2312" w:hAnsi="仿宋_GB2312" w:eastAsia="仿宋_GB2312" w:cs="仿宋_GB2312"/>
              </w:rPr>
              <w:t>》（2004年2月24日经第29次部常务会议讨论通过，自2004年5月1日起施行。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w:t>
            </w:r>
            <w:bookmarkEnd w:id="4"/>
            <w:r>
              <w:rPr>
                <w:rFonts w:hint="eastAsia" w:ascii="仿宋_GB2312" w:hAnsi="仿宋_GB2312" w:eastAsia="仿宋_GB2312" w:cs="仿宋_GB2312"/>
              </w:rPr>
              <w:t>第十五条　获得特许经营权的企业确需变更名称、地址、法定代表人的，应当提前书面告知主管部门，并经其同意</w:t>
            </w:r>
          </w:p>
          <w:p>
            <w:pPr>
              <w:spacing w:line="240" w:lineRule="exact"/>
              <w:rPr>
                <w:rFonts w:ascii="仿宋_GB2312" w:hAnsi="仿宋_GB2312" w:eastAsia="仿宋_GB2312" w:cs="仿宋_GB2312"/>
              </w:rPr>
            </w:pPr>
            <w:r>
              <w:rPr>
                <w:rFonts w:hint="eastAsia" w:ascii="仿宋_GB2312" w:hAnsi="仿宋_GB2312" w:eastAsia="仿宋_GB2312" w:cs="仿宋_GB2312"/>
              </w:rPr>
              <w:t>第十五条　获得特许经营权的企业确需变更名称、地址、法定代表人的，应当提前书面告知主管部门，并经其同意。第十八条　获得特许经营权的企业在特许经营期间有下列行为之一的，主管部门应当依法终止特许经营协议，取消其特许经营权，并可以实施临时接管：</w:t>
            </w:r>
          </w:p>
          <w:p>
            <w:pPr>
              <w:spacing w:line="240" w:lineRule="exact"/>
              <w:rPr>
                <w:rFonts w:ascii="仿宋_GB2312" w:hAnsi="仿宋_GB2312" w:eastAsia="仿宋_GB2312" w:cs="仿宋_GB2312"/>
              </w:rPr>
            </w:pPr>
            <w:r>
              <w:rPr>
                <w:rFonts w:hint="eastAsia" w:ascii="仿宋_GB2312" w:hAnsi="仿宋_GB2312" w:eastAsia="仿宋_GB2312" w:cs="仿宋_GB2312"/>
              </w:rPr>
              <w:t>（一）擅自转让、出租特许经营权的；</w:t>
            </w:r>
          </w:p>
          <w:p>
            <w:pPr>
              <w:spacing w:line="240" w:lineRule="exact"/>
              <w:rPr>
                <w:rFonts w:ascii="仿宋_GB2312" w:hAnsi="仿宋_GB2312" w:eastAsia="仿宋_GB2312" w:cs="仿宋_GB2312"/>
              </w:rPr>
            </w:pPr>
            <w:r>
              <w:rPr>
                <w:rFonts w:hint="eastAsia" w:ascii="仿宋_GB2312" w:hAnsi="仿宋_GB2312" w:eastAsia="仿宋_GB2312" w:cs="仿宋_GB2312"/>
              </w:rPr>
              <w:t>（二）擅自将所经营的财产进行处置或者抵押的；</w:t>
            </w:r>
          </w:p>
          <w:p>
            <w:pPr>
              <w:spacing w:line="240" w:lineRule="exact"/>
              <w:rPr>
                <w:rFonts w:ascii="仿宋_GB2312" w:hAnsi="仿宋_GB2312" w:eastAsia="仿宋_GB2312" w:cs="仿宋_GB2312"/>
              </w:rPr>
            </w:pPr>
            <w:r>
              <w:rPr>
                <w:rFonts w:hint="eastAsia" w:ascii="仿宋_GB2312" w:hAnsi="仿宋_GB2312" w:eastAsia="仿宋_GB2312" w:cs="仿宋_GB2312"/>
              </w:rPr>
              <w:t>（三）因管理不善，发生重大质量、生产安全事故的；</w:t>
            </w:r>
          </w:p>
          <w:p>
            <w:pPr>
              <w:spacing w:line="240" w:lineRule="exact"/>
              <w:rPr>
                <w:rFonts w:ascii="仿宋_GB2312" w:hAnsi="仿宋_GB2312" w:eastAsia="仿宋_GB2312" w:cs="仿宋_GB2312"/>
              </w:rPr>
            </w:pPr>
            <w:r>
              <w:rPr>
                <w:rFonts w:hint="eastAsia" w:ascii="仿宋_GB2312" w:hAnsi="仿宋_GB2312" w:eastAsia="仿宋_GB2312" w:cs="仿宋_GB2312"/>
              </w:rPr>
              <w:t>（四）擅自停业、歇业，严重影响到社会公共利益和安全的；</w:t>
            </w:r>
          </w:p>
          <w:p>
            <w:pPr>
              <w:spacing w:line="240" w:lineRule="exact"/>
              <w:rPr>
                <w:rFonts w:ascii="仿宋_GB2312" w:hAnsi="仿宋_GB2312" w:eastAsia="仿宋_GB2312" w:cs="仿宋_GB2312"/>
              </w:rPr>
            </w:pPr>
            <w:r>
              <w:rPr>
                <w:rFonts w:hint="eastAsia" w:ascii="仿宋_GB2312" w:hAnsi="仿宋_GB2312" w:eastAsia="仿宋_GB2312" w:cs="仿宋_GB2312"/>
              </w:rPr>
              <w:t>（五）法律、法规禁止的其他行为。</w:t>
            </w:r>
          </w:p>
          <w:p>
            <w:pPr>
              <w:spacing w:line="240" w:lineRule="exact"/>
              <w:rPr>
                <w:rFonts w:ascii="仿宋_GB2312" w:hAnsi="仿宋_GB2312" w:eastAsia="仿宋_GB2312" w:cs="仿宋_GB2312"/>
                <w:snapToGrid w:val="0"/>
                <w:color w:val="000000"/>
              </w:rPr>
            </w:pP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强化对特许经营单位是否满足资质标准和市场行为的监管。</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第八条主管部门应当依照下列程序选择投资者或者经营者：（一）提出市政公用事业特许经营项目，报直辖市、市、县人民政府批准后，向社会公开发布招标条件，受理投标；（二）根据招标条件，对特许经营权的投标人进行资格审查和方案预审，推荐出符合条件的投标候选人；（三）组织评审委员会依法进行评审，并经过质询和公开答辩，择优选择特许经营权授予对象；（四）向社会公示中标结果，公示时间不少于20天；（五）公示期满，对中标者没有异议的，经直辖市、市、县人民政府批准，与中标者（以下简称“获得特许经营权的企业”）签订特许经营协议。</w:t>
            </w:r>
          </w:p>
          <w:p>
            <w:pPr>
              <w:spacing w:line="240" w:lineRule="exact"/>
              <w:rPr>
                <w:rFonts w:ascii="仿宋_GB2312" w:hAnsi="仿宋_GB2312" w:eastAsia="仿宋_GB2312" w:cs="仿宋_GB2312"/>
              </w:rPr>
            </w:pPr>
            <w:r>
              <w:rPr>
                <w:rFonts w:hint="eastAsia" w:ascii="仿宋_GB2312" w:hAnsi="仿宋_GB2312" w:eastAsia="仿宋_GB2312" w:cs="仿宋_GB2312"/>
              </w:rPr>
              <w:t>2.【规章】《市政公用事业特许经营管理办法》（建设部令第126号）第九条特许经营协议应当包括以下内容：（一）特许经营内容、区域、范围及有效期限；（二）产品和服务标准；（三）价格和收费的确定方法、标准以及调整程序；（四）设施的权属与处置；（五）设施维护和更新改造；（六）安全管理；（七）履约担保；（八）特许经营权的终止和变更；（九）违约责任；（十）争议解决方式；（十一）双方认为应该约定的其他事项。</w:t>
            </w:r>
          </w:p>
          <w:p>
            <w:pPr>
              <w:rPr>
                <w:rFonts w:ascii="仿宋_GB2312" w:hAnsi="仿宋_GB2312" w:eastAsia="仿宋_GB2312" w:cs="仿宋_GB2312"/>
              </w:rPr>
            </w:pPr>
            <w:r>
              <w:rPr>
                <w:rFonts w:hint="eastAsia" w:ascii="仿宋_GB2312" w:hAnsi="仿宋_GB2312" w:eastAsia="仿宋_GB2312" w:cs="仿宋_GB2312"/>
              </w:rPr>
              <w:t>3.同1</w:t>
            </w:r>
          </w:p>
          <w:p>
            <w:pPr>
              <w:rPr>
                <w:rFonts w:ascii="仿宋_GB2312" w:hAnsi="仿宋_GB2312" w:eastAsia="仿宋_GB2312" w:cs="仿宋_GB2312"/>
              </w:rPr>
            </w:pP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5.同1</w:t>
            </w:r>
          </w:p>
          <w:p>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67</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燃气工程设施符合燃气发展规划的认定</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w:t>
            </w:r>
            <w:bookmarkStart w:id="6" w:name="OLE_LINK7"/>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bookmarkEnd w:id="6"/>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在办公场所公示依法应当提交的材料；一次性告知补正材料；依法受理或不予受理（不予受理应当告知理由）。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审查申请材料，如有需要可组织专家审查。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决定责任：</w:t>
            </w:r>
            <w:r>
              <w:rPr>
                <w:rFonts w:hint="eastAsia" w:ascii="仿宋_GB2312" w:hAnsi="仿宋_GB2312" w:eastAsia="仿宋_GB2312" w:cs="仿宋_GB2312"/>
              </w:rPr>
              <w:t>根据现有规划或专家审查意见，对燃气工程设施是否符合燃气发展规划提出审核意见，作出行政确认或者不予确认决定（不予认定的应当告知理由）。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送达责任：</w:t>
            </w:r>
            <w:r>
              <w:rPr>
                <w:rFonts w:hint="eastAsia" w:ascii="仿宋_GB2312" w:hAnsi="仿宋_GB2312" w:eastAsia="仿宋_GB2312" w:cs="仿宋_GB2312"/>
              </w:rPr>
              <w:t>制发送达燃气工程设施符合燃气发展规划确认书；信息公开。</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公开投诉电话，公众监督，自身加强监管。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950" w:type="dxa"/>
          </w:tcPr>
          <w:p>
            <w:pP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rPr>
                <w:rFonts w:ascii="仿宋_GB2312" w:hAnsi="仿宋_GB2312" w:eastAsia="仿宋_GB2312" w:cs="仿宋_GB2312"/>
              </w:rPr>
            </w:pPr>
            <w:r>
              <w:rPr>
                <w:rFonts w:hint="eastAsia" w:ascii="仿宋_GB2312" w:hAnsi="仿宋_GB2312" w:eastAsia="仿宋_GB2312" w:cs="仿宋_GB2312"/>
              </w:rPr>
              <w:t>2.【地方性法规】《广西壮族自治区燃气管理条例》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p>
            <w:pPr>
              <w:adjustRightInd w:val="0"/>
              <w:snapToGrid w:val="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不履行或不正确履行燃气工程符合燃气规划的认定权力，造成不良后果的。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1-1. </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68</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燃气供求状况监测、预测和预警及燃气应急处置</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根据地方供求情况进行供求状况调研，如有需要可请第三方专业机构、行业专家参与调查评估、预测预警。</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本部门应急响应责任：</w:t>
            </w:r>
            <w:r>
              <w:rPr>
                <w:rFonts w:hint="eastAsia" w:ascii="仿宋_GB2312" w:hAnsi="仿宋_GB2312" w:eastAsia="仿宋_GB2312" w:cs="仿宋_GB2312"/>
              </w:rPr>
              <w:t>根据预案要求启动应急响应，通知各相关部门内部人员按程序执行应急预案。</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3</w:t>
            </w:r>
            <w:r>
              <w:rPr>
                <w:rFonts w:ascii="仿宋_GB2312" w:hAnsi="仿宋_GB2312" w:eastAsia="仿宋_GB2312" w:cs="仿宋_GB2312"/>
                <w:b/>
              </w:rPr>
              <w:t>.</w:t>
            </w:r>
            <w:r>
              <w:rPr>
                <w:rFonts w:hint="eastAsia" w:ascii="仿宋_GB2312" w:hAnsi="仿宋_GB2312" w:eastAsia="仿宋_GB2312" w:cs="仿宋_GB2312"/>
                <w:b/>
              </w:rPr>
              <w:t>其他法律法规规章文件规定应履行的责任。</w:t>
            </w:r>
          </w:p>
        </w:tc>
        <w:tc>
          <w:tcPr>
            <w:tcW w:w="4950" w:type="dxa"/>
          </w:tcPr>
          <w:p>
            <w:pPr>
              <w:adjustRightInd w:val="0"/>
              <w:snapToGrid w:val="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二条：燃气安全事故发生后，燃气管理部门、安全生产监督管理部门和公安机关消防机构等有关部门和单位，应当根据各自职责，立即采取措施防止事故扩大，根据有关情况启动燃气安全事故应急预案。</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3.其他法律法规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不履行或不正确履行本行政区域燃气供求状况预测职责，造成不良后果的。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1.                                                             3.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69</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燃气安全事故应急预案制定、实施和事故统计分析、事故通报</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根据应急预案，确定事故等级，参与事故调查和分析。编制本区域的行业应急预案，如有需要可请第三方专业机构、行业专家参与调查评估或编制。</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通报责任：</w:t>
            </w:r>
            <w:r>
              <w:rPr>
                <w:rFonts w:hint="eastAsia" w:ascii="仿宋_GB2312" w:hAnsi="仿宋_GB2312" w:eastAsia="仿宋_GB2312" w:cs="仿宋_GB2312"/>
              </w:rPr>
              <w:t>按照程序，通报事故的情况、责任等信息。</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监管责任：</w:t>
            </w:r>
            <w:r>
              <w:rPr>
                <w:rFonts w:hint="eastAsia" w:ascii="仿宋_GB2312" w:hAnsi="仿宋_GB2312" w:eastAsia="仿宋_GB2312" w:cs="仿宋_GB2312"/>
              </w:rPr>
              <w:t>加强对燃气经营、使用单位的安全监管。</w:t>
            </w:r>
          </w:p>
          <w:p>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号对该条例进行了第一次修改）第四十一条燃气经营者应当建立健全燃气安全评估和风险管理体系，发现燃气安全事故隐患的，应当及时采取措施消除隐患。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其他玩忽职守、贻误工作的行为。</w:t>
            </w: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shd w:val="clear" w:color="auto" w:fill="FFFFFF"/>
              </w:rPr>
              <w:t>《行政机关公务员处分</w:t>
            </w:r>
            <w:r>
              <w:fldChar w:fldCharType="begin"/>
            </w:r>
            <w:r>
              <w:instrText xml:space="preserve"> HYPERLINK "http://baike.baidu.com/item/%E6%9D%A1%E4%BE%8B" \t "http://baike.baidu.com/_blank" </w:instrText>
            </w:r>
            <w:r>
              <w:fldChar w:fldCharType="separate"/>
            </w:r>
            <w:r>
              <w:rPr>
                <w:rStyle w:val="10"/>
                <w:rFonts w:ascii="仿宋_GB2312" w:hAnsi="仿宋_GB2312" w:eastAsia="仿宋_GB2312" w:cs="仿宋_GB2312"/>
                <w:color w:val="auto"/>
                <w:shd w:val="clear" w:color="auto" w:fill="FFFFFF"/>
              </w:rPr>
              <w:t>条例</w:t>
            </w:r>
            <w:r>
              <w:rPr>
                <w:rStyle w:val="10"/>
                <w:rFonts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》（是经2007年4月4日</w:t>
            </w:r>
            <w:r>
              <w:fldChar w:fldCharType="begin"/>
            </w:r>
            <w:r>
              <w:instrText xml:space="preserve"> HYPERLINK "http://baike.baidu.com/item/%E4%B8%AD%E5%8D%8E%E4%BA%BA%E6%B0%91%E5%85%B1%E5%92%8C%E5%9B%BD" \t "http://baike.baidu.com/_blank" </w:instrText>
            </w:r>
            <w:r>
              <w:fldChar w:fldCharType="separate"/>
            </w:r>
            <w:r>
              <w:rPr>
                <w:rStyle w:val="10"/>
                <w:rFonts w:ascii="仿宋_GB2312" w:hAnsi="仿宋_GB2312" w:eastAsia="仿宋_GB2312" w:cs="仿宋_GB2312"/>
                <w:color w:val="auto"/>
                <w:shd w:val="clear" w:color="auto" w:fill="FFFFFF"/>
              </w:rPr>
              <w:t>中华人民共和国</w:t>
            </w:r>
            <w:r>
              <w:rPr>
                <w:rStyle w:val="10"/>
                <w:rFonts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国务院第173次常务会议通过并于2007年4月22日中华人民共和国国务院令第495号公布的文件）</w:t>
            </w:r>
            <w:r>
              <w:rPr>
                <w:rFonts w:hint="eastAsia" w:ascii="仿宋_GB2312" w:hAnsi="仿宋_GB2312" w:eastAsia="仿宋_GB2312" w:cs="仿宋_GB2312"/>
              </w:rPr>
              <w:t>第二十条　有下列行为之一的，给予记过、记大过处分；情节较重的，给予降级或者撤职处分；情节严重的，给予开除处分：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，致使可以避免的爆炸、火灾、传染病传播流行、严重环境污染、严重人员伤亡等重大事故或者群体性事件发生的；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（三）对救灾、抢险、防汛、防疫、优抚、扶贫、移民、救济、社会保险、征地补偿等专项款物疏于管理，致使款物被贪污、挪用，或者毁损、灭失的；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（四）其他玩忽职守、贻误工作的行为。</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ind w:firstLine="400"/>
              <w:rPr>
                <w:rFonts w:ascii="仿宋_GB2312" w:hAnsi="仿宋_GB2312" w:eastAsia="仿宋_GB2312" w:cs="仿宋_GB2312"/>
                <w:color w:val="000000"/>
              </w:rPr>
            </w:pPr>
            <w:r>
              <w:rPr>
                <w:rFonts w:hint="eastAsia" w:ascii="仿宋_GB2312" w:hAnsi="仿宋_GB2312" w:eastAsia="仿宋_GB2312" w:cs="仿宋_GB2312"/>
              </w:rPr>
              <w:t>3.同1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70</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燃气、供水企业生产安全事故应急预案备案</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【规章】《生产安全事故应急预案管理办法》（已经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条：县级以上地方各级安全生产监督管理部门负责本行政区域内应急预案的综合协调管理工作。县级以上地方各级其他负有安全生产监督管理职责的部门按照各自的职责负责有关行业、领域应急预案的管理工作。</w:t>
            </w:r>
          </w:p>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tc>
        <w:tc>
          <w:tcPr>
            <w:tcW w:w="2970" w:type="dxa"/>
            <w:vAlign w:val="center"/>
          </w:tcPr>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p>
            <w:pPr>
              <w:adjustRightInd w:val="0"/>
              <w:snapToGrid w:val="0"/>
              <w:ind w:firstLine="400" w:firstLineChars="200"/>
              <w:jc w:val="both"/>
              <w:rPr>
                <w:rFonts w:ascii="仿宋_GB2312" w:hAnsi="仿宋_GB2312" w:eastAsia="仿宋_GB2312" w:cs="仿宋_GB2312"/>
              </w:rPr>
            </w:pPr>
          </w:p>
          <w:p>
            <w:pPr>
              <w:adjustRightInd w:val="0"/>
              <w:snapToGrid w:val="0"/>
              <w:ind w:firstLine="400" w:firstLineChars="200"/>
              <w:jc w:val="both"/>
              <w:rPr>
                <w:rFonts w:ascii="仿宋_GB2312" w:hAnsi="仿宋_GB2312" w:eastAsia="仿宋_GB2312" w:cs="仿宋_GB2312"/>
              </w:rPr>
            </w:pPr>
          </w:p>
          <w:p>
            <w:pPr>
              <w:adjustRightInd w:val="0"/>
              <w:snapToGrid w:val="0"/>
              <w:spacing w:line="320" w:lineRule="exact"/>
              <w:ind w:firstLine="400" w:firstLineChars="200"/>
              <w:jc w:val="both"/>
              <w:rPr>
                <w:rFonts w:ascii="仿宋_GB2312" w:hAnsi="仿宋_GB2312" w:eastAsia="仿宋_GB2312" w:cs="仿宋_GB2312"/>
                <w:snapToGrid w:val="0"/>
                <w:color w:val="000000"/>
              </w:rPr>
            </w:pP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日起施行）第三章第二十七条，“生产经营单位申报应急预案备案，应当提交下列材料：</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应急预案备案申报表；</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应急预案评审或者论证意见；</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应急预案文本及电子文档；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风险评估结果和应急资源调查清单。”</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日起施行）第三章第二十八条，“受理备案登记的负有安全生产监督管理职责的部门应当在</w:t>
            </w:r>
            <w:r>
              <w:rPr>
                <w:rFonts w:ascii="仿宋_GB2312" w:hAnsi="仿宋_GB2312" w:eastAsia="仿宋_GB2312" w:cs="仿宋_GB2312"/>
              </w:rPr>
              <w:t>5</w:t>
            </w:r>
            <w:r>
              <w:rPr>
                <w:rFonts w:hint="eastAsia" w:ascii="仿宋_GB2312" w:hAnsi="仿宋_GB2312" w:eastAsia="仿宋_GB2312" w:cs="仿宋_GB2312"/>
              </w:rPr>
              <w:t>个工作日内对应急预案材料进行核对，材料齐全的，应当予以备案并出具应急预案备案登记表；材料不全的，不予备案并一次性告知需要补齐的材料。逾期不予备案又不说明理由的，视为已经备案。”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日起施行）第三章第二十九条，“各级安全生产监督管理部门应当建立应急预案备案登记建档制度，指导、督促生产经营单位做好应急预案的备案登记工作。”</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不履行或不正确履行建设工程报建备案权力，造成不良后果的。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71</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收取建筑安装工程劳动保险费</w:t>
            </w:r>
          </w:p>
        </w:tc>
        <w:tc>
          <w:tcPr>
            <w:tcW w:w="485" w:type="dxa"/>
            <w:shd w:val="clear" w:color="auto" w:fill="auto"/>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　无</w:t>
            </w:r>
          </w:p>
        </w:tc>
        <w:tc>
          <w:tcPr>
            <w:tcW w:w="3295" w:type="dxa"/>
            <w:shd w:val="clear" w:color="auto" w:fill="auto"/>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【规章】《广西壮族自治区人民政府关于印发广西壮族自治区建筑安装工程劳动保险费管理办法的通知》（桂政发〔2012〕42号，自2012年4月27日起施行）第二条  根据建筑市场中各类所有制建筑施工企业并存和建筑安装工程造价管理仍处于定额管理逐步向合同价管理阶段发展的特点，建安劳保费实行由住房城乡建设主管部门建安劳保费管理机构统一收取，统一向建筑施工企业拨付调剂的管理办法。 </w:t>
            </w:r>
          </w:p>
        </w:tc>
        <w:tc>
          <w:tcPr>
            <w:tcW w:w="2970" w:type="dxa"/>
            <w:shd w:val="clear" w:color="auto" w:fill="auto"/>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：公示告知收取标准、金额计算方式、征收适用类型、征收方式以及其他应当公示的内容；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审查收取建筑安装工程劳动保险费材料，对照材料，审查符合的征收标准；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：对照标准，计算并确认缴费数额，并要严格按照规定的范围、标准和时限要求收取保险费。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62" w:lineRule="exact"/>
              <w:jc w:val="both"/>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1。【法规】《广西壮族自治区建筑安装工程劳动保险费管理试行办法》（桂办发［2000］117号，自2000年7月3日起施行）第二条  根据建筑市场中各类所有制建筑企业并存和建筑安装工程造价管理由定额管理逐步向合同价管理过渡的特点，改革原建筑安装工程劳保费计取办法，实行由建设行政主管部门劳保费管理机构代收取，统一向建筑施工企业拨付调剂的管理办法。                                                                            2.同1.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其他法律法规</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7.其他法律法规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357"/>
        <w:gridCol w:w="2220"/>
        <w:gridCol w:w="4746"/>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35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2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4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72</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对城市供水水质、水压、设施维护的监管</w:t>
            </w:r>
          </w:p>
        </w:tc>
        <w:tc>
          <w:tcPr>
            <w:tcW w:w="485" w:type="dxa"/>
            <w:vAlign w:val="center"/>
          </w:tcPr>
          <w:p>
            <w:pPr>
              <w:spacing w:line="240" w:lineRule="exact"/>
              <w:jc w:val="center"/>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城市供水水压的监管</w:t>
            </w:r>
          </w:p>
        </w:tc>
        <w:tc>
          <w:tcPr>
            <w:tcW w:w="329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spacing w:line="240" w:lineRule="exact"/>
              <w:rPr>
                <w:rFonts w:ascii="仿宋_GB2312" w:hAnsi="仿宋_GB2312" w:eastAsia="仿宋_GB2312" w:cs="仿宋_GB2312"/>
                <w:snapToGrid w:val="0"/>
                <w:color w:val="000000"/>
              </w:rPr>
            </w:pP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357"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r>
              <w:rPr>
                <w:rFonts w:ascii="仿宋_GB2312" w:hAnsi="仿宋_GB2312" w:eastAsia="仿宋_GB2312" w:cs="仿宋_GB2312"/>
              </w:rPr>
              <w:br w:type="textWrapping"/>
            </w:r>
          </w:p>
        </w:tc>
        <w:tc>
          <w:tcPr>
            <w:tcW w:w="2220" w:type="dxa"/>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4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tcPr>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　行政机关及其工作人员在实施行政监督检查过程中，有下列情形之一的，应当追究行政过错责任：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tc>
        <w:tc>
          <w:tcPr>
            <w:tcW w:w="984" w:type="dxa"/>
          </w:tcPr>
          <w:p>
            <w:pPr>
              <w:spacing w:after="200"/>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tcPr>
          <w:p>
            <w:pPr>
              <w:spacing w:line="240" w:lineRule="exact"/>
              <w:rPr>
                <w:rFonts w:ascii="仿宋_GB2312" w:hAnsi="仿宋_GB2312" w:eastAsia="仿宋_GB2312" w:cs="仿宋_GB2312"/>
              </w:rPr>
            </w:pPr>
          </w:p>
        </w:tc>
        <w:tc>
          <w:tcPr>
            <w:tcW w:w="705" w:type="dxa"/>
            <w:vMerge w:val="continue"/>
          </w:tcPr>
          <w:p>
            <w:pPr>
              <w:spacing w:line="240" w:lineRule="exact"/>
              <w:rPr>
                <w:rFonts w:ascii="仿宋_GB2312" w:hAnsi="仿宋_GB2312" w:eastAsia="仿宋_GB2312" w:cs="仿宋_GB2312"/>
              </w:rPr>
            </w:pPr>
          </w:p>
        </w:tc>
        <w:tc>
          <w:tcPr>
            <w:tcW w:w="485" w:type="dxa"/>
            <w:vAlign w:val="center"/>
          </w:tcPr>
          <w:p>
            <w:pPr>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供水设施维护的监管</w:t>
            </w:r>
          </w:p>
        </w:tc>
        <w:tc>
          <w:tcPr>
            <w:tcW w:w="3295" w:type="dxa"/>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号修正）第二十五条第二款“城市供水行政主管部门应当对城市供水设施的维护和管理实施监督、检查。”</w:t>
            </w:r>
          </w:p>
          <w:p>
            <w:pPr>
              <w:spacing w:line="240" w:lineRule="exact"/>
              <w:rPr>
                <w:rFonts w:ascii="仿宋_GB2312" w:hAnsi="仿宋_GB2312" w:eastAsia="仿宋_GB2312" w:cs="仿宋_GB2312"/>
              </w:rPr>
            </w:pP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b/>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357"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【规章】《广西壮族自治区实施〈城市供水条例〉办法》第二十五条第二款“城市供水行政主管部门应当对城市供水设施的维护和管理实施监督、检查。”</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2220"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vAlign w:val="center"/>
          </w:tcPr>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【规章】广西壮族自治区行政过错责任追究办法（2007年4月17日广西壮族自治区人民政府第63次常务会议审议通过　2007年4月25日广西壮族自治区人民政府令第24号公布　自2007年6月1日起施行）第十一条　行政机关及其工作人员在实施行政监督检查过程中，有下列情形之一的，应当追究行政过错责任：</w:t>
            </w:r>
            <w:r>
              <w:rPr>
                <w:rFonts w:hint="eastAsia"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hint="eastAsia"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hint="eastAsia"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hint="eastAsia"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hint="eastAsia"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hint="eastAsia"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6、《广西壮族自治区实施〈城市供水条例〉办法》第三十六条 城市供水行政主管部门工作人员玩忽职守、滥用职权、徇私舞弊的，由其所在单位或者上级机关依法给予行政处分；构成犯罪的，依法追究刑事责任。</w:t>
            </w:r>
          </w:p>
          <w:p>
            <w:pPr>
              <w:spacing w:line="240" w:lineRule="exact"/>
              <w:textAlignment w:val="center"/>
              <w:rPr>
                <w:rFonts w:ascii="仿宋_GB2312" w:hAnsi="仿宋_GB2312" w:eastAsia="仿宋_GB2312" w:cs="仿宋_GB2312"/>
              </w:rPr>
            </w:pPr>
          </w:p>
        </w:tc>
        <w:tc>
          <w:tcPr>
            <w:tcW w:w="984"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73</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对公共租赁住房（廉租住房）监督</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tc>
        <w:tc>
          <w:tcPr>
            <w:tcW w:w="2970" w:type="dxa"/>
            <w:vAlign w:val="center"/>
          </w:tcPr>
          <w:p>
            <w:pPr>
              <w:adjustRightInd w:val="0"/>
              <w:snapToGrid w:val="0"/>
              <w:spacing w:line="262"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制定检查方案，内容包括检查和判定依据、主要检查项目。</w:t>
            </w:r>
          </w:p>
          <w:p>
            <w:pPr>
              <w:adjustRightInd w:val="0"/>
              <w:snapToGrid w:val="0"/>
              <w:spacing w:line="262" w:lineRule="exact"/>
              <w:jc w:val="both"/>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依法对已分配的公共租赁住房进行材料核验、现场检查等。</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3</w:t>
            </w:r>
            <w:r>
              <w:rPr>
                <w:rFonts w:ascii="仿宋_GB2312" w:hAnsi="仿宋_GB2312" w:eastAsia="仿宋_GB2312" w:cs="仿宋_GB2312"/>
                <w:b/>
              </w:rPr>
              <w:t>.</w:t>
            </w:r>
            <w:r>
              <w:rPr>
                <w:rFonts w:hint="eastAsia" w:ascii="仿宋_GB2312" w:hAnsi="仿宋_GB2312" w:eastAsia="仿宋_GB2312" w:cs="仿宋_GB2312"/>
                <w:b/>
              </w:rPr>
              <w:t>处理责任</w:t>
            </w:r>
            <w:r>
              <w:rPr>
                <w:rFonts w:hint="eastAsia" w:ascii="仿宋_GB2312" w:hAnsi="仿宋_GB2312" w:eastAsia="仿宋_GB2312" w:cs="仿宋_GB2312"/>
              </w:rPr>
              <w:t>：检查结束后应按规定通报结果；依据相关法律法规对违反规定的有关人员予以惩处。针对检查中发现的问题，提出整改措施。违反相关法律、法规和规章的，责令整改</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4</w:t>
            </w:r>
            <w:r>
              <w:rPr>
                <w:rFonts w:ascii="仿宋_GB2312" w:hAnsi="仿宋_GB2312" w:eastAsia="仿宋_GB2312" w:cs="仿宋_GB2312"/>
                <w:b/>
              </w:rPr>
              <w:t>.</w:t>
            </w:r>
            <w:r>
              <w:rPr>
                <w:rFonts w:hint="eastAsia" w:ascii="仿宋_GB2312" w:hAnsi="仿宋_GB2312" w:eastAsia="仿宋_GB2312" w:cs="仿宋_GB2312"/>
                <w:b/>
              </w:rPr>
              <w:t>监管责任</w:t>
            </w:r>
            <w:r>
              <w:rPr>
                <w:rFonts w:hint="eastAsia" w:ascii="仿宋_GB2312" w:hAnsi="仿宋_GB2312" w:eastAsia="仿宋_GB2312" w:cs="仿宋_GB2312"/>
              </w:rPr>
              <w:t>：强化对已分配的公共租赁住房实行动态监管。</w:t>
            </w:r>
          </w:p>
          <w:p>
            <w:pPr>
              <w:adjustRightInd w:val="0"/>
              <w:snapToGrid w:val="0"/>
              <w:spacing w:line="320" w:lineRule="exact"/>
              <w:ind w:firstLine="401" w:firstLineChars="200"/>
              <w:jc w:val="both"/>
              <w:rPr>
                <w:rFonts w:ascii="仿宋_GB2312" w:hAnsi="仿宋_GB2312" w:eastAsia="仿宋_GB2312" w:cs="仿宋_GB2312"/>
                <w:snapToGrid w:val="0"/>
                <w:color w:val="000000"/>
              </w:rPr>
            </w:pPr>
            <w:r>
              <w:rPr>
                <w:rFonts w:hint="eastAsia" w:ascii="仿宋_GB2312" w:hAnsi="仿宋_GB2312" w:eastAsia="仿宋_GB2312" w:cs="仿宋_GB2312"/>
                <w:b/>
                <w:bCs/>
              </w:rPr>
              <w:t>5</w:t>
            </w:r>
            <w:r>
              <w:rPr>
                <w:rFonts w:ascii="仿宋_GB2312" w:hAnsi="仿宋_GB2312" w:eastAsia="仿宋_GB2312" w:cs="仿宋_GB2312"/>
                <w:b/>
                <w:bCs/>
              </w:rPr>
              <w:t>.</w:t>
            </w:r>
            <w:r>
              <w:rPr>
                <w:rFonts w:hint="eastAsia" w:ascii="仿宋_GB2312" w:hAnsi="仿宋_GB2312" w:eastAsia="仿宋_GB2312" w:cs="仿宋_GB2312"/>
                <w:b/>
                <w:bCs/>
              </w:rPr>
              <w:t>其他责任：</w:t>
            </w:r>
            <w:r>
              <w:rPr>
                <w:rFonts w:hint="eastAsia" w:ascii="仿宋_GB2312" w:hAnsi="仿宋_GB2312" w:eastAsia="仿宋_GB2312" w:cs="仿宋_GB2312"/>
              </w:rPr>
              <w:t>法律法规规章文件规定应履行的责任</w:t>
            </w:r>
          </w:p>
        </w:tc>
        <w:tc>
          <w:tcPr>
            <w:tcW w:w="4950" w:type="dxa"/>
          </w:tcPr>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snapToGrid w:val="0"/>
              <w:spacing w:line="288" w:lineRule="auto"/>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r>
              <w:rPr>
                <w:rFonts w:ascii="仿宋_GB2312" w:hAnsi="仿宋_GB2312" w:eastAsia="仿宋_GB2312" w:cs="仿宋_GB2312"/>
                <w:color w:val="000000"/>
              </w:rPr>
              <w:br w:type="textWrapping"/>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napToGrid w:val="0"/>
              <w:spacing w:line="288" w:lineRule="auto"/>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color w:val="000000"/>
              </w:rPr>
              <w:t>《公共租赁住房管理办法》（</w:t>
            </w:r>
            <w:r>
              <w:rPr>
                <w:rFonts w:hint="eastAsia" w:ascii="仿宋_GB2312" w:hAnsi="仿宋_GB2312" w:eastAsia="仿宋_GB2312" w:cs="仿宋_GB2312"/>
              </w:rPr>
              <w:t>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color w:val="000000"/>
              </w:rPr>
              <w:t>）第三十三条住房城乡建设</w:t>
            </w:r>
            <w:r>
              <w:rPr>
                <w:rFonts w:ascii="仿宋_GB2312" w:hAnsi="仿宋_GB2312" w:eastAsia="仿宋_GB2312" w:cs="仿宋_GB2312"/>
                <w:color w:val="000000"/>
              </w:rPr>
              <w:t>(</w:t>
            </w:r>
            <w:r>
              <w:rPr>
                <w:rFonts w:hint="eastAsia" w:ascii="仿宋_GB2312" w:hAnsi="仿宋_GB2312" w:eastAsia="仿宋_GB2312" w:cs="仿宋_GB2312"/>
                <w:color w:val="000000"/>
              </w:rPr>
              <w:t>住房保障</w:t>
            </w:r>
            <w:r>
              <w:rPr>
                <w:rFonts w:ascii="仿宋_GB2312" w:hAnsi="仿宋_GB2312" w:eastAsia="仿宋_GB2312" w:cs="仿宋_GB2312"/>
                <w:color w:val="000000"/>
              </w:rPr>
              <w:t>)</w:t>
            </w:r>
            <w:r>
              <w:rPr>
                <w:rFonts w:hint="eastAsia" w:ascii="仿宋_GB2312" w:hAnsi="仿宋_GB2312" w:eastAsia="仿宋_GB2312" w:cs="仿宋_GB2312"/>
                <w:color w:val="000000"/>
              </w:rPr>
              <w:t>主管部门及其工作人员在公共租赁住房管理工作中不履行本办法规定的职责，或者滥用职权、玩忽职守、徇私舞弊的，对直接负责的主管人员和其他直接责任人员依法给予处分</w:t>
            </w:r>
            <w:r>
              <w:rPr>
                <w:rFonts w:ascii="仿宋_GB2312" w:hAnsi="仿宋_GB2312" w:eastAsia="仿宋_GB2312" w:cs="仿宋_GB2312"/>
                <w:color w:val="000000"/>
              </w:rPr>
              <w:t>;</w:t>
            </w:r>
            <w:r>
              <w:rPr>
                <w:rFonts w:hint="eastAsia" w:ascii="仿宋_GB2312" w:hAnsi="仿宋_GB2312" w:eastAsia="仿宋_GB2312" w:cs="仿宋_GB2312"/>
                <w:color w:val="000000"/>
              </w:rPr>
              <w:t>构成犯罪的，依法追究刑事责任。</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p>
          <w:p>
            <w:pPr>
              <w:jc w:val="both"/>
              <w:rPr>
                <w:rFonts w:ascii="仿宋_GB2312" w:hAnsi="仿宋_GB2312" w:eastAsia="仿宋_GB2312" w:cs="仿宋_GB2312"/>
                <w:snapToGrid w:val="0"/>
                <w:color w:val="000000"/>
              </w:rPr>
            </w:pPr>
          </w:p>
          <w:p>
            <w:pPr>
              <w:jc w:val="both"/>
            </w:pPr>
            <w:r>
              <w:rPr>
                <w:rFonts w:hint="eastAsia" w:ascii="仿宋_GB2312" w:hAnsi="仿宋_GB2312" w:eastAsia="仿宋_GB2312" w:cs="仿宋_GB2312"/>
                <w:snapToGrid w:val="0"/>
                <w:color w:val="000000"/>
              </w:rPr>
              <w:t>74</w:t>
            </w:r>
          </w:p>
        </w:tc>
        <w:tc>
          <w:tcPr>
            <w:tcW w:w="735" w:type="dxa"/>
            <w:vAlign w:val="center"/>
          </w:tcPr>
          <w:p>
            <w:pPr>
              <w:adjustRightInd w:val="0"/>
              <w:snapToGrid w:val="0"/>
              <w:spacing w:line="262"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对房屋征收工作的监督</w:t>
            </w:r>
          </w:p>
        </w:tc>
        <w:tc>
          <w:tcPr>
            <w:tcW w:w="485" w:type="dxa"/>
            <w:vAlign w:val="center"/>
          </w:tcPr>
          <w:p>
            <w:pPr>
              <w:adjustRightInd w:val="0"/>
              <w:snapToGrid w:val="0"/>
              <w:spacing w:line="262" w:lineRule="exact"/>
              <w:rPr>
                <w:rFonts w:ascii="仿宋_GB2312" w:hAnsi="仿宋_GB2312" w:eastAsia="仿宋_GB2312" w:cs="仿宋_GB2312"/>
                <w:snapToGrid w:val="0"/>
                <w:color w:val="000000"/>
              </w:rPr>
            </w:pPr>
          </w:p>
        </w:tc>
        <w:tc>
          <w:tcPr>
            <w:tcW w:w="3295" w:type="dxa"/>
            <w:vAlign w:val="center"/>
          </w:tcPr>
          <w:p>
            <w:pPr>
              <w:spacing w:line="2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　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第五条“房屋征收部门对房屋征收实施单位在委托范围内实施的房屋征收与补偿行为负责监督，并对其行为后果承担法律责任”；第六条“上级人民政府应当加强对下级人民政府房屋征收与补偿工作的监督”；第八条相关规定；第十二条“作出房屋征收决定前，征收补偿费用应当足额到位、专户存储、专款专用”。</w:t>
            </w:r>
          </w:p>
          <w:p>
            <w:pPr>
              <w:spacing w:line="2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pPr>
              <w:adjustRightInd w:val="0"/>
              <w:snapToGrid w:val="0"/>
              <w:rPr>
                <w:rFonts w:ascii="仿宋_GB2312" w:hAnsi="仿宋_GB2312" w:eastAsia="仿宋_GB2312" w:cs="仿宋_GB2312"/>
                <w:snapToGrid w:val="0"/>
                <w:color w:val="000000"/>
              </w:rPr>
            </w:pPr>
          </w:p>
        </w:tc>
        <w:tc>
          <w:tcPr>
            <w:tcW w:w="2970" w:type="dxa"/>
            <w:vAlign w:val="center"/>
          </w:tcPr>
          <w:p>
            <w:pPr>
              <w:adjustRightInd w:val="0"/>
              <w:snapToGrid w:val="0"/>
              <w:spacing w:line="262" w:lineRule="exact"/>
              <w:ind w:firstLine="400" w:firstLineChars="200"/>
              <w:rPr>
                <w:rFonts w:ascii="仿宋_GB2312" w:hAnsi="仿宋_GB2312" w:eastAsia="仿宋_GB2312" w:cs="仿宋_GB2312"/>
                <w:snapToGrid w:val="0"/>
                <w:color w:val="FF0000"/>
              </w:rPr>
            </w:pPr>
          </w:p>
          <w:p>
            <w:pPr>
              <w:adjustRightInd w:val="0"/>
              <w:snapToGrid w:val="0"/>
              <w:spacing w:line="262" w:lineRule="exact"/>
              <w:ind w:firstLine="400" w:firstLineChars="200"/>
              <w:rPr>
                <w:rFonts w:ascii="仿宋_GB2312" w:hAnsi="仿宋_GB2312" w:eastAsia="仿宋_GB2312" w:cs="仿宋_GB2312"/>
                <w:snapToGrid w:val="0"/>
                <w:color w:val="FF0000"/>
              </w:rPr>
            </w:pPr>
          </w:p>
          <w:p>
            <w:pPr>
              <w:adjustRightInd w:val="0"/>
              <w:snapToGrid w:val="0"/>
              <w:spacing w:line="262"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宋体" w:eastAsia="仿宋_GB2312" w:cs="仿宋_GB2312"/>
                <w:color w:val="000000"/>
              </w:rPr>
              <w:t>制定检查方案，确定目标、对象和方式，公告或通知被检查单位。</w:t>
            </w:r>
          </w:p>
          <w:p>
            <w:pPr>
              <w:adjustRightInd w:val="0"/>
              <w:snapToGrid w:val="0"/>
              <w:spacing w:line="262" w:lineRule="exact"/>
              <w:ind w:firstLine="401" w:firstLineChars="200"/>
              <w:rPr>
                <w:rFonts w:ascii="仿宋_GB2312" w:hAnsi="宋体" w:eastAsia="仿宋_GB2312" w:cs="仿宋_GB2312"/>
                <w:color w:val="000000"/>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宋体" w:eastAsia="仿宋_GB2312" w:cs="仿宋_GB2312"/>
                <w:color w:val="000000"/>
              </w:rPr>
              <w:t>检查时，检查人员不得少于</w:t>
            </w:r>
            <w:r>
              <w:rPr>
                <w:rFonts w:ascii="仿宋_GB2312" w:hAnsi="宋体" w:eastAsia="仿宋_GB2312" w:cs="仿宋_GB2312"/>
                <w:color w:val="000000"/>
              </w:rPr>
              <w:t>2</w:t>
            </w:r>
            <w:r>
              <w:rPr>
                <w:rFonts w:hint="eastAsia" w:ascii="仿宋_GB2312" w:hAnsi="宋体" w:eastAsia="仿宋_GB2312" w:cs="仿宋_GB2312"/>
                <w:color w:val="000000"/>
              </w:rPr>
              <w:t>人，应当持《检查通知书》或相关证件进行检查。</w:t>
            </w:r>
          </w:p>
          <w:p>
            <w:pPr>
              <w:adjustRightInd w:val="0"/>
              <w:snapToGrid w:val="0"/>
              <w:spacing w:line="262" w:lineRule="exact"/>
              <w:ind w:firstLine="401" w:firstLineChars="200"/>
              <w:rPr>
                <w:rFonts w:ascii="仿宋_GB2312" w:hAnsi="宋体" w:eastAsia="仿宋_GB2312" w:cs="仿宋_GB2312"/>
                <w:color w:val="000000"/>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宋体" w:eastAsia="仿宋_GB2312" w:cs="仿宋_GB2312"/>
                <w:color w:val="000000"/>
              </w:rPr>
              <w:t>对检查中发现的问题，提出整改措施，并报有关部门依法处理。</w:t>
            </w:r>
          </w:p>
          <w:p>
            <w:pPr>
              <w:adjustRightInd w:val="0"/>
              <w:snapToGrid w:val="0"/>
              <w:spacing w:line="262" w:lineRule="exact"/>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宋体" w:eastAsia="仿宋_GB2312" w:cs="仿宋_GB2312"/>
                <w:color w:val="000000"/>
              </w:rPr>
              <w:t>对各城区房屋征收工作的启动、征收决定、资金管理、补偿资金预决算、项目补偿方案制定、房地产价格评估机构选定、征收补偿等工作行使监督职能。</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rPr>
              <w:t>其他法律法规规章文件规定应履行的责任。</w:t>
            </w:r>
          </w:p>
        </w:tc>
        <w:tc>
          <w:tcPr>
            <w:tcW w:w="4950" w:type="dxa"/>
            <w:vAlign w:val="center"/>
          </w:tcPr>
          <w:p>
            <w:pPr>
              <w:numPr>
                <w:ilvl w:val="0"/>
                <w:numId w:val="23"/>
              </w:numPr>
              <w:spacing w:line="220" w:lineRule="exact"/>
              <w:jc w:val="both"/>
              <w:rPr>
                <w:rFonts w:ascii="仿宋_GB2312" w:hAnsi="仿宋_GB2312" w:eastAsia="仿宋_GB2312" w:cs="仿宋_GB2312"/>
              </w:rPr>
            </w:pP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w:t>
            </w:r>
          </w:p>
          <w:p>
            <w:pPr>
              <w:numPr>
                <w:ilvl w:val="0"/>
                <w:numId w:val="23"/>
              </w:numPr>
              <w:spacing w:line="220" w:lineRule="exact"/>
              <w:jc w:val="both"/>
              <w:rPr>
                <w:rFonts w:ascii="仿宋_GB2312" w:hAnsi="仿宋_GB2312" w:eastAsia="仿宋_GB2312" w:cs="仿宋_GB2312"/>
              </w:rPr>
            </w:pP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w:t>
            </w:r>
            <w:r>
              <w:rPr>
                <w:rFonts w:ascii="仿宋_GB2312" w:hAnsi="仿宋_GB2312" w:eastAsia="仿宋_GB2312" w:cs="仿宋_GB2312"/>
              </w:rPr>
              <w:t>8</w:t>
            </w:r>
            <w:r>
              <w:rPr>
                <w:rFonts w:hint="eastAsia" w:ascii="仿宋_GB2312" w:hAnsi="仿宋_GB2312" w:eastAsia="仿宋_GB2312" w:cs="仿宋_GB2312"/>
              </w:rPr>
              <w:t>届第</w:t>
            </w:r>
            <w:r>
              <w:rPr>
                <w:rFonts w:ascii="仿宋_GB2312" w:hAnsi="仿宋_GB2312" w:eastAsia="仿宋_GB2312" w:cs="仿宋_GB2312"/>
              </w:rPr>
              <w:t>63</w:t>
            </w:r>
            <w:r>
              <w:rPr>
                <w:rFonts w:hint="eastAsia" w:ascii="仿宋_GB2312" w:hAnsi="仿宋_GB2312" w:eastAsia="仿宋_GB2312" w:cs="仿宋_GB2312"/>
              </w:rPr>
              <w:t>号颁布，</w:t>
            </w:r>
            <w:r>
              <w:rPr>
                <w:rFonts w:ascii="仿宋_GB2312" w:hAnsi="仿宋_GB2312" w:eastAsia="仿宋_GB2312" w:cs="仿宋_GB2312"/>
              </w:rPr>
              <w:t>2009</w:t>
            </w:r>
            <w:r>
              <w:rPr>
                <w:rFonts w:hint="eastAsia" w:ascii="仿宋_GB2312" w:hAnsi="仿宋_GB2312" w:eastAsia="仿宋_GB2312" w:cs="仿宋_GB2312"/>
              </w:rPr>
              <w:t>年主席令第十八号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次常务会议通过，现予公布，自公布之日起实施）第五条第</w:t>
            </w:r>
            <w:r>
              <w:rPr>
                <w:rFonts w:ascii="仿宋_GB2312" w:hAnsi="仿宋_GB2312" w:eastAsia="仿宋_GB2312" w:cs="仿宋_GB2312"/>
              </w:rPr>
              <w:t>2</w:t>
            </w:r>
            <w:r>
              <w:rPr>
                <w:rFonts w:hint="eastAsia" w:ascii="仿宋_GB2312" w:hAnsi="仿宋_GB2312" w:eastAsia="仿宋_GB2312" w:cs="仿宋_GB2312"/>
              </w:rPr>
              <w:t>款“房屋征收部门对房屋征收实施单位在委托范围内实施的房屋征收与补偿行为负责监督，并对其行为后果承担法律责任”；</w:t>
            </w:r>
          </w:p>
          <w:p>
            <w:pPr>
              <w:adjustRightInd w:val="0"/>
              <w:snapToGrid w:val="0"/>
              <w:spacing w:line="220"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pPr>
              <w:adjustRightInd w:val="0"/>
              <w:snapToGrid w:val="0"/>
              <w:spacing w:line="220"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【规范性文件】《关于明确及调整市国有土地上房屋征收与补偿机构和管理体制有关问题的通知》（柳编〔</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39</w:t>
            </w:r>
            <w:r>
              <w:rPr>
                <w:rFonts w:hint="eastAsia" w:ascii="仿宋_GB2312" w:hAnsi="仿宋_GB2312" w:eastAsia="仿宋_GB2312" w:cs="仿宋_GB2312"/>
              </w:rPr>
              <w:t>号）第一点第（二）项第</w:t>
            </w:r>
            <w:r>
              <w:rPr>
                <w:rFonts w:ascii="仿宋_GB2312" w:hAnsi="仿宋_GB2312" w:eastAsia="仿宋_GB2312" w:cs="仿宋_GB2312"/>
              </w:rPr>
              <w:t>9</w:t>
            </w:r>
            <w:r>
              <w:rPr>
                <w:rFonts w:hint="eastAsia" w:ascii="仿宋_GB2312" w:hAnsi="仿宋_GB2312" w:eastAsia="仿宋_GB2312" w:cs="仿宋_GB2312"/>
              </w:rPr>
              <w:t>点“对各城区房屋征收部门拟定的项目征收补偿方案进行审批。”</w:t>
            </w:r>
          </w:p>
          <w:p>
            <w:pPr>
              <w:adjustRightInd w:val="0"/>
              <w:snapToGrid w:val="0"/>
              <w:spacing w:line="220" w:lineRule="exact"/>
              <w:rPr>
                <w:rFonts w:ascii="仿宋_GB2312" w:hAnsi="仿宋_GB2312" w:eastAsia="仿宋_GB2312" w:cs="仿宋_GB2312"/>
                <w:snapToGrid w:val="0"/>
                <w:color w:val="000000"/>
              </w:rPr>
            </w:pPr>
            <w:r>
              <w:rPr>
                <w:rFonts w:ascii="仿宋_GB2312" w:hAnsi="仿宋_GB2312" w:eastAsia="仿宋_GB2312" w:cs="仿宋_GB2312"/>
              </w:rPr>
              <w:t>4.3</w:t>
            </w:r>
            <w:r>
              <w:rPr>
                <w:rFonts w:hint="eastAsia" w:ascii="仿宋_GB2312" w:hAnsi="仿宋_GB2312" w:eastAsia="仿宋_GB2312" w:cs="仿宋_GB2312"/>
              </w:rPr>
              <w:t>【文件】《柳州市国有土地上房屋征收选定房地产价格评估机构暂行办法》（柳建复〔</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43</w:t>
            </w:r>
            <w:r>
              <w:rPr>
                <w:rFonts w:hint="eastAsia" w:ascii="仿宋_GB2312" w:hAnsi="仿宋_GB2312" w:eastAsia="仿宋_GB2312" w:cs="仿宋_GB2312"/>
              </w:rPr>
              <w:t>号）第四条“市房屋征收工作机构负责对房地产价格评估机构的选定工作进行指导、监督。”</w:t>
            </w:r>
          </w:p>
        </w:tc>
        <w:tc>
          <w:tcPr>
            <w:tcW w:w="1515" w:type="dxa"/>
            <w:vAlign w:val="center"/>
          </w:tcPr>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下列情形的，行政机关及相关工作人员应承担相应责任：</w:t>
            </w:r>
            <w:r>
              <w:rPr>
                <w:rFonts w:ascii="仿宋_GB2312" w:hAnsi="仿宋_GB2312" w:eastAsia="仿宋_GB2312" w:cs="仿宋_GB2312"/>
                <w:color w:val="000000"/>
              </w:rPr>
              <w:br w:type="textWrapping"/>
            </w:r>
            <w:r>
              <w:rPr>
                <w:rFonts w:ascii="仿宋_GB2312" w:hAnsi="仿宋_GB2312" w:eastAsia="仿宋_GB2312" w:cs="仿宋_GB2312"/>
                <w:color w:val="000000"/>
              </w:rPr>
              <w:t>1.</w:t>
            </w:r>
            <w:r>
              <w:rPr>
                <w:rFonts w:hint="eastAsia" w:ascii="仿宋_GB2312" w:hAnsi="仿宋_GB2312" w:eastAsia="仿宋_GB2312" w:cs="仿宋_GB2312"/>
                <w:color w:val="000000"/>
              </w:rPr>
              <w:t>在房屋征收与补偿工作中，滥用职权、徇私舞弊或者玩忽职守的，对发现的行政相对人违法事实隐瞒不报或少报的。</w:t>
            </w:r>
          </w:p>
          <w:p>
            <w:pPr>
              <w:spacing w:line="220" w:lineRule="exact"/>
              <w:textAlignment w:val="center"/>
              <w:rPr>
                <w:rFonts w:ascii="仿宋_GB2312" w:hAnsi="仿宋_GB2312" w:eastAsia="仿宋_GB2312" w:cs="仿宋_GB2312"/>
                <w:snapToGrid w:val="0"/>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采取暴力、威胁或者违反规定中断供水、供热、供气、供电和道路通行等非法方式迫使被征收人搬迁的。</w:t>
            </w:r>
            <w:r>
              <w:rPr>
                <w:rFonts w:ascii="仿宋_GB2312" w:hAnsi="仿宋_GB2312" w:eastAsia="仿宋_GB2312" w:cs="仿宋_GB2312"/>
                <w:color w:val="000000"/>
              </w:rPr>
              <w:br w:type="textWrapping"/>
            </w:r>
            <w:r>
              <w:rPr>
                <w:rFonts w:ascii="仿宋_GB2312" w:hAnsi="仿宋_GB2312" w:eastAsia="仿宋_GB2312" w:cs="仿宋_GB2312"/>
                <w:color w:val="000000"/>
              </w:rPr>
              <w:t>3.</w:t>
            </w:r>
            <w:r>
              <w:rPr>
                <w:rFonts w:hint="eastAsia" w:ascii="仿宋_GB2312" w:hAnsi="仿宋_GB2312" w:eastAsia="仿宋_GB2312" w:cs="仿宋_GB2312"/>
                <w:color w:val="000000"/>
              </w:rPr>
              <w:t>贪污、挪用、私分、截留、拖欠征收补偿费用的。</w:t>
            </w:r>
            <w:r>
              <w:rPr>
                <w:rFonts w:ascii="仿宋_GB2312" w:hAnsi="仿宋_GB2312" w:eastAsia="仿宋_GB2312" w:cs="仿宋_GB2312"/>
                <w:color w:val="000000"/>
              </w:rPr>
              <w:br w:type="textWrapping"/>
            </w:r>
            <w:r>
              <w:rPr>
                <w:rFonts w:ascii="仿宋_GB2312" w:hAnsi="仿宋_GB2312" w:eastAsia="仿宋_GB2312" w:cs="仿宋_GB2312"/>
                <w:color w:val="000000"/>
              </w:rPr>
              <w:t>4.</w:t>
            </w:r>
            <w:r>
              <w:rPr>
                <w:rFonts w:hint="eastAsia" w:ascii="仿宋_GB2312" w:hAnsi="仿宋_GB2312" w:eastAsia="仿宋_GB2312" w:cs="仿宋_GB2312"/>
                <w:color w:val="000000"/>
              </w:rPr>
              <w:t>对发现的违法行为不制止、不纠正的。</w:t>
            </w:r>
          </w:p>
        </w:tc>
        <w:tc>
          <w:tcPr>
            <w:tcW w:w="4858" w:type="dxa"/>
          </w:tcPr>
          <w:p>
            <w:pPr>
              <w:spacing w:line="220" w:lineRule="exact"/>
              <w:textAlignment w:val="center"/>
              <w:rPr>
                <w:rFonts w:ascii="仿宋_GB2312" w:hAnsi="仿宋_GB2312" w:eastAsia="仿宋_GB2312" w:cs="仿宋_GB2312"/>
                <w:color w:val="000000"/>
              </w:rPr>
            </w:pPr>
          </w:p>
          <w:p>
            <w:pPr>
              <w:spacing w:line="220" w:lineRule="exact"/>
              <w:textAlignment w:val="center"/>
              <w:rPr>
                <w:rFonts w:ascii="仿宋_GB2312" w:hAnsi="仿宋_GB2312" w:eastAsia="仿宋_GB2312" w:cs="仿宋_GB2312"/>
                <w:color w:val="000000"/>
              </w:rPr>
            </w:pPr>
          </w:p>
          <w:p>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【规章】国务院令第</w:t>
            </w:r>
            <w:r>
              <w:rPr>
                <w:rFonts w:ascii="仿宋_GB2312" w:hAnsi="仿宋_GB2312" w:eastAsia="仿宋_GB2312" w:cs="仿宋_GB2312"/>
                <w:color w:val="000000"/>
              </w:rPr>
              <w:t>590</w:t>
            </w:r>
            <w:r>
              <w:rPr>
                <w:rFonts w:hint="eastAsia" w:ascii="仿宋_GB2312" w:hAnsi="仿宋_GB2312" w:eastAsia="仿宋_GB2312" w:cs="仿宋_GB2312"/>
                <w:color w:val="000000"/>
              </w:rPr>
              <w:t>号《国有土地上房屋征收与补偿条例》（已经</w:t>
            </w:r>
            <w:r>
              <w:rPr>
                <w:rFonts w:ascii="仿宋_GB2312" w:hAnsi="仿宋_GB2312" w:eastAsia="仿宋_GB2312" w:cs="仿宋_GB2312"/>
                <w:color w:val="000000"/>
              </w:rPr>
              <w:t>2011</w:t>
            </w:r>
            <w:r>
              <w:rPr>
                <w:rFonts w:hint="eastAsia" w:ascii="仿宋_GB2312" w:hAnsi="仿宋_GB2312" w:eastAsia="仿宋_GB2312" w:cs="仿宋_GB2312"/>
                <w:color w:val="000000"/>
              </w:rPr>
              <w:t>年</w:t>
            </w:r>
            <w:r>
              <w:rPr>
                <w:rFonts w:ascii="仿宋_GB2312" w:hAnsi="仿宋_GB2312" w:eastAsia="仿宋_GB2312" w:cs="仿宋_GB2312"/>
                <w:color w:val="000000"/>
              </w:rPr>
              <w:t>1</w:t>
            </w:r>
            <w:r>
              <w:rPr>
                <w:rFonts w:hint="eastAsia" w:ascii="仿宋_GB2312" w:hAnsi="仿宋_GB2312" w:eastAsia="仿宋_GB2312" w:cs="仿宋_GB2312"/>
                <w:color w:val="000000"/>
              </w:rPr>
              <w:t>月</w:t>
            </w:r>
            <w:r>
              <w:rPr>
                <w:rFonts w:ascii="仿宋_GB2312" w:hAnsi="仿宋_GB2312" w:eastAsia="仿宋_GB2312" w:cs="仿宋_GB2312"/>
                <w:color w:val="000000"/>
              </w:rPr>
              <w:t>19</w:t>
            </w:r>
            <w:r>
              <w:rPr>
                <w:rFonts w:hint="eastAsia" w:ascii="仿宋_GB2312" w:hAnsi="仿宋_GB2312" w:eastAsia="仿宋_GB2312" w:cs="仿宋_GB2312"/>
                <w:color w:val="000000"/>
              </w:rPr>
              <w:t>日国务院第</w:t>
            </w:r>
            <w:r>
              <w:rPr>
                <w:rFonts w:ascii="仿宋_GB2312" w:hAnsi="仿宋_GB2312" w:eastAsia="仿宋_GB2312" w:cs="仿宋_GB2312"/>
                <w:color w:val="000000"/>
              </w:rPr>
              <w:t>141</w:t>
            </w:r>
            <w:r>
              <w:rPr>
                <w:rFonts w:hint="eastAsia" w:ascii="仿宋_GB2312" w:hAnsi="仿宋_GB2312" w:eastAsia="仿宋_GB2312" w:cs="仿宋_GB2312"/>
                <w:color w:val="000000"/>
              </w:rPr>
              <w:t>次常务会议通过，现予公布，自公布之日起实施）第三十条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负责人员，依法给予处分；构成犯罪的，依法追究刑事责任。</w:t>
            </w:r>
            <w:r>
              <w:rPr>
                <w:rFonts w:ascii="仿宋_GB2312" w:hAnsi="仿宋_GB2312" w:eastAsia="仿宋_GB2312" w:cs="仿宋_GB2312"/>
                <w:color w:val="000000"/>
              </w:rPr>
              <w:br w:type="textWrapping"/>
            </w:r>
            <w:r>
              <w:rPr>
                <w:rFonts w:ascii="仿宋_GB2312" w:hAnsi="仿宋_GB2312" w:eastAsia="仿宋_GB2312" w:cs="仿宋_GB2312"/>
                <w:color w:val="000000"/>
              </w:rPr>
              <w:t>2.</w:t>
            </w:r>
            <w:r>
              <w:rPr>
                <w:rFonts w:hint="eastAsia" w:ascii="仿宋_GB2312" w:hAnsi="仿宋_GB2312" w:eastAsia="仿宋_GB2312" w:cs="仿宋_GB2312"/>
                <w:color w:val="000000"/>
              </w:rPr>
              <w:t>【规章】国务院令第</w:t>
            </w:r>
            <w:r>
              <w:rPr>
                <w:rFonts w:ascii="仿宋_GB2312" w:hAnsi="仿宋_GB2312" w:eastAsia="仿宋_GB2312" w:cs="仿宋_GB2312"/>
                <w:color w:val="000000"/>
              </w:rPr>
              <w:t>590</w:t>
            </w:r>
            <w:r>
              <w:rPr>
                <w:rFonts w:hint="eastAsia" w:ascii="仿宋_GB2312" w:hAnsi="仿宋_GB2312" w:eastAsia="仿宋_GB2312" w:cs="仿宋_GB2312"/>
                <w:color w:val="000000"/>
              </w:rPr>
              <w:t>号《国有土地上房屋征收与补偿条例》（已经</w:t>
            </w:r>
            <w:r>
              <w:rPr>
                <w:rFonts w:ascii="仿宋_GB2312" w:hAnsi="仿宋_GB2312" w:eastAsia="仿宋_GB2312" w:cs="仿宋_GB2312"/>
                <w:color w:val="000000"/>
              </w:rPr>
              <w:t>2011</w:t>
            </w:r>
            <w:r>
              <w:rPr>
                <w:rFonts w:hint="eastAsia" w:ascii="仿宋_GB2312" w:hAnsi="仿宋_GB2312" w:eastAsia="仿宋_GB2312" w:cs="仿宋_GB2312"/>
                <w:color w:val="000000"/>
              </w:rPr>
              <w:t>年</w:t>
            </w:r>
            <w:r>
              <w:rPr>
                <w:rFonts w:ascii="仿宋_GB2312" w:hAnsi="仿宋_GB2312" w:eastAsia="仿宋_GB2312" w:cs="仿宋_GB2312"/>
                <w:color w:val="000000"/>
              </w:rPr>
              <w:t>1</w:t>
            </w:r>
            <w:r>
              <w:rPr>
                <w:rFonts w:hint="eastAsia" w:ascii="仿宋_GB2312" w:hAnsi="仿宋_GB2312" w:eastAsia="仿宋_GB2312" w:cs="仿宋_GB2312"/>
                <w:color w:val="000000"/>
              </w:rPr>
              <w:t>月</w:t>
            </w:r>
            <w:r>
              <w:rPr>
                <w:rFonts w:ascii="仿宋_GB2312" w:hAnsi="仿宋_GB2312" w:eastAsia="仿宋_GB2312" w:cs="仿宋_GB2312"/>
                <w:color w:val="000000"/>
              </w:rPr>
              <w:t>19</w:t>
            </w:r>
            <w:r>
              <w:rPr>
                <w:rFonts w:hint="eastAsia" w:ascii="仿宋_GB2312" w:hAnsi="仿宋_GB2312" w:eastAsia="仿宋_GB2312" w:cs="仿宋_GB2312"/>
                <w:color w:val="000000"/>
              </w:rPr>
              <w:t>日国务院第</w:t>
            </w:r>
            <w:r>
              <w:rPr>
                <w:rFonts w:ascii="仿宋_GB2312" w:hAnsi="仿宋_GB2312" w:eastAsia="仿宋_GB2312" w:cs="仿宋_GB2312"/>
                <w:color w:val="000000"/>
              </w:rPr>
              <w:t>141</w:t>
            </w:r>
            <w:r>
              <w:rPr>
                <w:rFonts w:hint="eastAsia" w:ascii="仿宋_GB2312" w:hAnsi="仿宋_GB2312" w:eastAsia="仿宋_GB2312" w:cs="仿宋_GB2312"/>
                <w:color w:val="000000"/>
              </w:rPr>
              <w:t>次常务会议通过，现予公布，自公布之日起实施）第三十一条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【规章】国务院令第</w:t>
            </w:r>
            <w:r>
              <w:rPr>
                <w:rFonts w:ascii="仿宋_GB2312" w:hAnsi="仿宋_GB2312" w:eastAsia="仿宋_GB2312" w:cs="仿宋_GB2312"/>
                <w:color w:val="000000"/>
              </w:rPr>
              <w:t>590</w:t>
            </w:r>
            <w:r>
              <w:rPr>
                <w:rFonts w:hint="eastAsia" w:ascii="仿宋_GB2312" w:hAnsi="仿宋_GB2312" w:eastAsia="仿宋_GB2312" w:cs="仿宋_GB2312"/>
                <w:color w:val="000000"/>
              </w:rPr>
              <w:t>号《国有土地上房屋征收与补偿条例》（已经</w:t>
            </w:r>
            <w:r>
              <w:rPr>
                <w:rFonts w:ascii="仿宋_GB2312" w:hAnsi="仿宋_GB2312" w:eastAsia="仿宋_GB2312" w:cs="仿宋_GB2312"/>
                <w:color w:val="000000"/>
              </w:rPr>
              <w:t>2011</w:t>
            </w:r>
            <w:r>
              <w:rPr>
                <w:rFonts w:hint="eastAsia" w:ascii="仿宋_GB2312" w:hAnsi="仿宋_GB2312" w:eastAsia="仿宋_GB2312" w:cs="仿宋_GB2312"/>
                <w:color w:val="000000"/>
              </w:rPr>
              <w:t>年</w:t>
            </w:r>
            <w:r>
              <w:rPr>
                <w:rFonts w:ascii="仿宋_GB2312" w:hAnsi="仿宋_GB2312" w:eastAsia="仿宋_GB2312" w:cs="仿宋_GB2312"/>
                <w:color w:val="000000"/>
              </w:rPr>
              <w:t>1</w:t>
            </w:r>
            <w:r>
              <w:rPr>
                <w:rFonts w:hint="eastAsia" w:ascii="仿宋_GB2312" w:hAnsi="仿宋_GB2312" w:eastAsia="仿宋_GB2312" w:cs="仿宋_GB2312"/>
                <w:color w:val="000000"/>
              </w:rPr>
              <w:t>月</w:t>
            </w:r>
            <w:r>
              <w:rPr>
                <w:rFonts w:ascii="仿宋_GB2312" w:hAnsi="仿宋_GB2312" w:eastAsia="仿宋_GB2312" w:cs="仿宋_GB2312"/>
                <w:color w:val="000000"/>
              </w:rPr>
              <w:t>19</w:t>
            </w:r>
            <w:r>
              <w:rPr>
                <w:rFonts w:hint="eastAsia" w:ascii="仿宋_GB2312" w:hAnsi="仿宋_GB2312" w:eastAsia="仿宋_GB2312" w:cs="仿宋_GB2312"/>
                <w:color w:val="000000"/>
              </w:rPr>
              <w:t>日国务院第</w:t>
            </w:r>
            <w:r>
              <w:rPr>
                <w:rFonts w:ascii="仿宋_GB2312" w:hAnsi="仿宋_GB2312" w:eastAsia="仿宋_GB2312" w:cs="仿宋_GB2312"/>
                <w:color w:val="000000"/>
              </w:rPr>
              <w:t>141</w:t>
            </w:r>
            <w:r>
              <w:rPr>
                <w:rFonts w:hint="eastAsia" w:ascii="仿宋_GB2312" w:hAnsi="仿宋_GB2312" w:eastAsia="仿宋_GB2312" w:cs="仿宋_GB2312"/>
                <w:color w:val="000000"/>
              </w:rPr>
              <w:t>次常务会议通过，现予公布，自公布之日起实施）第三十三条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4.</w:t>
            </w:r>
            <w:r>
              <w:rPr>
                <w:rFonts w:hint="eastAsia" w:ascii="仿宋_GB2312" w:hAnsi="仿宋_GB2312" w:eastAsia="仿宋_GB2312" w:cs="仿宋_GB2312"/>
              </w:rPr>
              <w:t>【规范性文件】</w:t>
            </w:r>
            <w:r>
              <w:rPr>
                <w:rFonts w:hint="eastAsia" w:ascii="仿宋_GB2312" w:hAnsi="仿宋_GB2312" w:eastAsia="仿宋_GB2312" w:cs="仿宋_GB2312"/>
                <w:color w:val="000000"/>
              </w:rPr>
              <w:t>柳政办〔</w:t>
            </w:r>
            <w:r>
              <w:rPr>
                <w:rFonts w:ascii="仿宋_GB2312" w:hAnsi="仿宋_GB2312" w:eastAsia="仿宋_GB2312" w:cs="仿宋_GB2312"/>
                <w:color w:val="000000"/>
              </w:rPr>
              <w:t>2012</w:t>
            </w:r>
            <w:r>
              <w:rPr>
                <w:rFonts w:hint="eastAsia" w:ascii="仿宋_GB2312" w:hAnsi="仿宋_GB2312" w:eastAsia="仿宋_GB2312" w:cs="仿宋_GB2312"/>
                <w:color w:val="000000"/>
              </w:rPr>
              <w:t>〕</w:t>
            </w:r>
            <w:r>
              <w:rPr>
                <w:rFonts w:ascii="仿宋_GB2312" w:hAnsi="仿宋_GB2312" w:eastAsia="仿宋_GB2312" w:cs="仿宋_GB2312"/>
                <w:color w:val="000000"/>
              </w:rPr>
              <w:t>148</w:t>
            </w:r>
            <w:r>
              <w:rPr>
                <w:rFonts w:hint="eastAsia" w:ascii="仿宋_GB2312" w:hAnsi="仿宋_GB2312" w:eastAsia="仿宋_GB2312" w:cs="仿宋_GB2312"/>
                <w:color w:val="000000"/>
              </w:rPr>
              <w:t>号《柳州市国有土地上房屋征收与补偿暂行办法》</w:t>
            </w:r>
            <w:r>
              <w:rPr>
                <w:rFonts w:hint="eastAsia" w:ascii="仿宋_GB2312" w:hAnsi="仿宋_GB2312" w:eastAsia="仿宋_GB2312" w:cs="仿宋_GB2312"/>
              </w:rPr>
              <w:t>（柳政办〔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w:t>
            </w:r>
            <w:r>
              <w:rPr>
                <w:rFonts w:hint="eastAsia" w:ascii="仿宋_GB2312" w:hAnsi="仿宋_GB2312" w:eastAsia="仿宋_GB2312" w:cs="仿宋_GB2312"/>
                <w:color w:val="000000"/>
              </w:rPr>
              <w:t>第四十一条有下列行为之一的，按照《国有土地上房屋征收与补偿条例》有关规定进行处理：（一）市、城区人民政府及房屋征收部门、市房屋征收工作机构的工作人员在房屋征收与补偿工作中不履行本暂行办法规定的职责</w:t>
            </w:r>
            <w:r>
              <w:rPr>
                <w:rFonts w:ascii="仿宋_GB2312" w:hAnsi="仿宋_GB2312" w:eastAsia="仿宋_GB2312" w:cs="仿宋_GB2312"/>
                <w:color w:val="000000"/>
              </w:rPr>
              <w:t>,</w:t>
            </w:r>
            <w:r>
              <w:rPr>
                <w:rFonts w:hint="eastAsia" w:ascii="仿宋_GB2312" w:hAnsi="仿宋_GB2312" w:eastAsia="仿宋_GB2312" w:cs="仿宋_GB2312"/>
                <w:color w:val="000000"/>
              </w:rPr>
              <w:t>或者滥用职权、玩忽职守、徇私舞弊的。</w:t>
            </w:r>
            <w:r>
              <w:rPr>
                <w:rFonts w:ascii="仿宋_GB2312" w:hAnsi="仿宋_GB2312" w:eastAsia="仿宋_GB2312" w:cs="仿宋_GB2312"/>
                <w:color w:val="000000"/>
              </w:rPr>
              <w:br w:type="textWrapping"/>
            </w:r>
            <w:r>
              <w:rPr>
                <w:rFonts w:ascii="仿宋_GB2312" w:hAnsi="仿宋_GB2312" w:eastAsia="仿宋_GB2312" w:cs="仿宋_GB2312"/>
                <w:color w:val="000000"/>
              </w:rPr>
              <w:br w:type="textWrapping"/>
            </w:r>
            <w:r>
              <w:rPr>
                <w:rFonts w:ascii="仿宋_GB2312" w:hAnsi="仿宋_GB2312" w:eastAsia="仿宋_GB2312" w:cs="仿宋_GB2312"/>
                <w:color w:val="000000"/>
              </w:rPr>
              <w:br w:type="textWrapping"/>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对养护、维修城市道路工程的质量进行监督检查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w:t>
            </w:r>
          </w:p>
          <w:p>
            <w:pPr>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市政工程行政主管部门负责对养护、维修工程的质量进行监督检查，保障城市道路完好。</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对养护、维修工程的质量进行监督检查，保障城市道路完好。</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76</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建筑工程发承包计价活动监督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 xml:space="preserve"> 作出予以停工整改、限期整改、通报批评、记入诚信档案等相应的处理并向社会公布检查处理结果。</w:t>
            </w:r>
          </w:p>
          <w:p>
            <w:pPr>
              <w:adjustRightInd w:val="0"/>
              <w:snapToGrid w:val="0"/>
              <w:spacing w:line="320" w:lineRule="exact"/>
              <w:rPr>
                <w:rFonts w:ascii="仿宋_GB2312" w:hAnsi="仿宋_GB2312" w:eastAsia="仿宋_GB2312" w:cs="仿宋_GB2312"/>
              </w:rPr>
            </w:pP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强化建筑工程发承包计价活动的监管；</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5.其他法律法规规定责任。</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snapToGrid w:val="0"/>
                <w:color w:val="000000"/>
              </w:rPr>
            </w:pP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3.同2                        </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4.【规章】《建筑工程施工发包与承包计价管理办法》（住房城乡建设部令第16号 2013年第9次部常务会议审议通过，2013年12月11日现予发布，自2014年2月1日起施行）第二十四条　国家机关工作人员在建筑工程计价监督管理工作中玩忽职守、徇私舞弊、滥用职权的，由有关机关给予行政处分；构成犯罪的，依法追究刑事责任。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77</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颁发施工许可证后的监督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：强化对颁发施工许可证后的的监管。</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1.【规章】《建筑工程施工许可管理办法》(建设部令第18号，自2014年10月25日起施行)第十一条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4.同3.</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5.同3.</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建筑工程施工许可管理办法》(建设部令第18号,自2014年10月25日起施行)第十六条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ind w:firstLine="400" w:firstLineChars="200"/>
              <w:rPr>
                <w:rFonts w:ascii="仿宋_GB2312" w:hAnsi="仿宋_GB2312" w:eastAsia="仿宋_GB2312" w:cs="仿宋_GB2312"/>
                <w:color w:val="000000"/>
              </w:rPr>
            </w:pP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78</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建安劳保费的监督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【规范性文件】《广西壮族自治区人民政府关于印发广西壮族自治区建筑安装工程劳动保险费管理办法的通知》（桂政发[2012]42号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印发施行）第十九条 各级建设行政主管部门负责建安劳保费的监督管理工作，其所属的建安劳保费管理机构负责建安劳保费的收取、拨付、调剂和日常管理服务等具体工作。  第二十二条 建筑施工企业必须建立健全建安劳保费管理制度，实行建安劳保费专户管理，分别设立基本部分专户和调剂专户。并接受建安劳保费管理机构、建设、财政、审计等部门的监督检查。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：强化对建安劳保费监督管理。</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w:t>
            </w:r>
          </w:p>
        </w:tc>
        <w:tc>
          <w:tcPr>
            <w:tcW w:w="4950" w:type="dxa"/>
            <w:shd w:val="clear" w:color="auto" w:fill="auto"/>
            <w:vAlign w:val="center"/>
          </w:tcPr>
          <w:p>
            <w:pPr>
              <w:numPr>
                <w:ilvl w:val="0"/>
                <w:numId w:val="24"/>
              </w:num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【规范性文件】《广西壮族自治区人民政府关于印发广西壮族自治区建筑安装工程劳动保险费管理办法的通知》（ 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印发施行））第二十一条  各级建安劳保费管理机构要建立健全各项管理制度，并接受上级管理机构和同级建设、财政、审计等部门的监督、检查。第二十二条  建筑施工企业必须建立健全建安劳保费管理制度，实行建安劳保费专户管理，分别设立基本部分专户和调剂专户。并接受建安劳保费管理机构、建设、财政、审计等部门的监督检查。</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3.同1”                           </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spacing w:line="258" w:lineRule="exact"/>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4.《建筑工程设计招标投标管理办法》第三十一条　建设行政主管部门或者有关职能部门的工作人员徇私舞弊、滥用职权，干预正常招标投标活动的，由所在单位给予行政处分；构成犯罪的，依法追究刑事责任。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79</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对检测机构的监督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1.【规章】</w:t>
            </w:r>
            <w:r>
              <w:rPr>
                <w:rFonts w:hint="eastAsia" w:ascii="仿宋_GB2312" w:hAnsi="仿宋_GB2312" w:eastAsia="仿宋_GB2312" w:cs="仿宋_GB2312"/>
              </w:rPr>
              <w:t xml:space="preserve">《建设工程质量检测管理办法》(建设部令第 141号 2005年9月28日发布，2015年5月4日修正)第三条第三款“市、县人民政府建设主管部门负责对本行政区域内的质量检测活动实施监督管理。”第二十一条“县级以上地方人民政府建设主管部门应当加强对检测机构的监督检查”。 </w:t>
            </w:r>
          </w:p>
          <w:p>
            <w:pPr>
              <w:rPr>
                <w:rFonts w:ascii="仿宋_GB2312" w:hAnsi="仿宋_GB2312" w:eastAsia="仿宋_GB2312" w:cs="仿宋_GB2312"/>
                <w:snapToGrid w:val="0"/>
                <w:color w:val="000000"/>
              </w:rPr>
            </w:pPr>
            <w:r>
              <w:rPr>
                <w:rFonts w:hint="eastAsia" w:ascii="仿宋_GB2312" w:hAnsi="仿宋_GB2312" w:eastAsia="仿宋_GB2312" w:cs="仿宋_GB2312"/>
              </w:rPr>
              <w:t>2.【规范性文件】《广西壮族自治区建设工程质量检测管理规定》（2013年2月4日印发桂建管[2013]11号）第三十二条  各级住房和城乡建设行政主管部门或其委托的建设工程质量监督机构实施监督检查时，有权采取下列措施，检测机构应当接受监督，配合检查。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：强化对检测机构监督管理。</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工程施工许可管理办法》(建设部令第18号，自2014年10月25日起施行)第三条第三款“市、县人民政府建设主管部门负责对本行政区域内的质量检测活动实施监督管理。”第二十一条“县级以上地方人民政府建设主管部门应当加强对检测机构的监督检查”。</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4.同3.</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ind w:firstLine="400"/>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建设工程质量检测管理办法》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80</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建筑起重机械安全的监督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行）第二十六条　建设主管部门履行安全监督检查职责时，有权采取下列措施：</w:t>
            </w:r>
            <w:r>
              <w:rPr>
                <w:rFonts w:hint="eastAsia" w:ascii="仿宋_GB2312" w:hAnsi="仿宋_GB2312" w:eastAsia="仿宋_GB2312" w:cs="仿宋_GB2312"/>
              </w:rPr>
              <w:br w:type="textWrapping"/>
            </w:r>
            <w:r>
              <w:rPr>
                <w:rFonts w:hint="eastAsia" w:ascii="仿宋_GB2312" w:hAnsi="仿宋_GB2312" w:eastAsia="仿宋_GB2312" w:cs="仿宋_GB2312"/>
              </w:rPr>
              <w:t>（一）要求被检查的单位提供有关建筑起重机械的文件和资料；</w:t>
            </w:r>
          </w:p>
          <w:p>
            <w:pPr>
              <w:rPr>
                <w:rFonts w:ascii="仿宋_GB2312" w:hAnsi="仿宋_GB2312" w:eastAsia="仿宋_GB2312" w:cs="仿宋_GB2312"/>
                <w:snapToGrid w:val="0"/>
                <w:color w:val="000000"/>
              </w:rPr>
            </w:pPr>
            <w:r>
              <w:rPr>
                <w:rFonts w:hint="eastAsia" w:ascii="仿宋_GB2312" w:hAnsi="仿宋_GB2312" w:eastAsia="仿宋_GB2312" w:cs="仿宋_GB2312"/>
              </w:rPr>
              <w:t>（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r>
              <w:rPr>
                <w:rFonts w:hint="eastAsia" w:ascii="仿宋_GB2312" w:hAnsi="仿宋_GB2312" w:eastAsia="仿宋_GB2312" w:cs="仿宋_GB2312"/>
              </w:rPr>
              <w:br w:type="textWrapping"/>
            </w:r>
            <w:r>
              <w:rPr>
                <w:rFonts w:hint="eastAsia" w:ascii="仿宋_GB2312" w:hAnsi="仿宋_GB2312" w:eastAsia="仿宋_GB2312" w:cs="仿宋_GB2312"/>
              </w:rPr>
              <w:t>第二十七条　负责办理备案或者登记的建设主管部门应当建立本行政区域内的建筑起重机械档案，按照有关规定对建筑起重机械进行统一编号，并定期向社会公布建筑起重机械的安全状况。</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：强化建筑起重机械安全的监督管理。</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1.【规章】《建筑起重机械安全监督管理规定》(已于2008年1月8日经建设部第145次常务会议讨论通过，现予发布，自2008年6月1日起施行）第二十六条　建设主管部门履行安全监督检查职责时，有权采取下列措施：</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w:t>
            </w:r>
            <w:r>
              <w:rPr>
                <w:rFonts w:hint="eastAsia" w:ascii="仿宋_GB2312" w:hAnsi="仿宋_GB2312" w:eastAsia="仿宋_GB2312" w:cs="仿宋_GB2312"/>
                <w:snapToGrid w:val="0"/>
              </w:rPr>
              <w:t>第三十四条　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snapToGrid w:val="0"/>
              </w:rPr>
            </w:pP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81</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依法对散装水泥发展和应用情况进行监督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）第五条县级以上人民政府确定的散装水泥主管部门负责本行政区域散装水泥、预拌混凝土、预拌砂浆发展和应用的监督管理。具体监督管理工作由散装水泥管理机构承担。所需工作经费纳入本级财政预算。</w:t>
            </w:r>
          </w:p>
          <w:p>
            <w:pPr>
              <w:rPr>
                <w:rFonts w:ascii="仿宋_GB2312" w:hAnsi="仿宋_GB2312" w:eastAsia="仿宋_GB2312" w:cs="仿宋_GB2312"/>
                <w:snapToGrid w:val="0"/>
                <w:color w:val="000000"/>
              </w:rPr>
            </w:pPr>
            <w:r>
              <w:rPr>
                <w:rFonts w:hint="eastAsia" w:ascii="仿宋_GB2312" w:hAnsi="仿宋_GB2312" w:eastAsia="仿宋_GB2312" w:cs="仿宋_GB2312"/>
              </w:rPr>
              <w:t>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rPr>
              <w:t>3.处理责任：</w:t>
            </w:r>
            <w:r>
              <w:rPr>
                <w:rFonts w:hint="eastAsia" w:ascii="仿宋_GB2312" w:hAnsi="仿宋_GB2312" w:eastAsia="仿宋_GB2312" w:cs="仿宋_GB2312"/>
                <w:snapToGrid w:val="0"/>
              </w:rPr>
              <w:t>对违法事实、证据资料、调查程序、法律适用、当事人陈述理由等进行审查，提出初步处理意见。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强化散装水泥、预拌混凝土、预拌砂浆发展和应用的监督管理；</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snapToGrid w:val="0"/>
              </w:rPr>
              <w:t xml:space="preserve">    5.同3.</w:t>
            </w:r>
          </w:p>
          <w:p>
            <w:pPr>
              <w:adjustRightInd w:val="0"/>
              <w:snapToGrid w:val="0"/>
              <w:spacing w:line="320" w:lineRule="exact"/>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207"/>
        <w:gridCol w:w="2258"/>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20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82</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宋体" w:hAnsi="宋体" w:cs="宋体"/>
                <w:spacing w:val="-4"/>
                <w:sz w:val="21"/>
                <w:szCs w:val="21"/>
              </w:rPr>
              <w:t>广西建设领域新技术和新产品确定及推广应用目录编制公布</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spacing w:line="240" w:lineRule="exact"/>
              <w:ind w:firstLine="420" w:firstLineChars="200"/>
              <w:contextualSpacing/>
              <w:rPr>
                <w:rFonts w:ascii="宋体" w:hAnsi="宋体"/>
                <w:sz w:val="21"/>
                <w:szCs w:val="21"/>
              </w:rPr>
            </w:pPr>
            <w:r>
              <w:rPr>
                <w:rFonts w:ascii="宋体" w:hAnsi="宋体"/>
                <w:sz w:val="21"/>
                <w:szCs w:val="21"/>
              </w:rPr>
              <w:t>1.《中华人民共和国节约能源法》（2007年</w:t>
            </w:r>
            <w:r>
              <w:rPr>
                <w:rFonts w:hint="eastAsia" w:ascii="宋体" w:hAnsi="宋体"/>
                <w:sz w:val="21"/>
                <w:szCs w:val="21"/>
              </w:rPr>
              <w:t>10月28日中华人民共和国</w:t>
            </w:r>
            <w:r>
              <w:rPr>
                <w:rFonts w:ascii="宋体" w:hAnsi="宋体"/>
                <w:sz w:val="21"/>
                <w:szCs w:val="21"/>
              </w:rPr>
              <w:t>主席令第七十七号公布，</w:t>
            </w:r>
            <w:r>
              <w:rPr>
                <w:rFonts w:hint="eastAsia" w:ascii="宋体" w:hAnsi="宋体"/>
                <w:sz w:val="21"/>
                <w:szCs w:val="21"/>
              </w:rPr>
              <w:t>2008年4月1日起施行，</w:t>
            </w:r>
            <w:r>
              <w:rPr>
                <w:rFonts w:ascii="宋体" w:hAnsi="宋体"/>
                <w:sz w:val="21"/>
                <w:szCs w:val="21"/>
              </w:rPr>
              <w:t>2016年</w:t>
            </w:r>
            <w:r>
              <w:rPr>
                <w:rFonts w:hint="eastAsia" w:ascii="宋体" w:hAnsi="宋体"/>
                <w:sz w:val="21"/>
                <w:szCs w:val="21"/>
              </w:rPr>
              <w:t>7月2日中华人民共和国</w:t>
            </w:r>
            <w:r>
              <w:rPr>
                <w:rFonts w:ascii="宋体" w:hAnsi="宋体"/>
                <w:sz w:val="21"/>
                <w:szCs w:val="21"/>
              </w:rPr>
              <w:t>主席令第四十八号修改）第十一条  国务院和县级以上地方各级人民政府应当加强对节能工作的领导，部署、协调、监督、检查、推动节能工作。</w:t>
            </w:r>
          </w:p>
          <w:p>
            <w:pPr>
              <w:spacing w:line="240" w:lineRule="exact"/>
              <w:ind w:firstLine="420" w:firstLineChars="200"/>
              <w:contextualSpacing/>
              <w:rPr>
                <w:rFonts w:ascii="宋体" w:hAnsi="宋体"/>
                <w:sz w:val="21"/>
                <w:szCs w:val="21"/>
              </w:rPr>
            </w:pPr>
            <w:r>
              <w:rPr>
                <w:rFonts w:ascii="宋体" w:hAnsi="宋体"/>
                <w:sz w:val="21"/>
                <w:szCs w:val="21"/>
              </w:rPr>
              <w:t>第十七条  禁止生产、进口、销售国家明令淘汰或者不符合强制性能源效率标准的用能产品、设备；禁止使用国家明令淘汰的用能设备、生产工艺。</w:t>
            </w:r>
          </w:p>
          <w:p>
            <w:pPr>
              <w:spacing w:line="240" w:lineRule="exact"/>
              <w:ind w:firstLine="420" w:firstLineChars="200"/>
              <w:contextualSpacing/>
              <w:rPr>
                <w:rFonts w:ascii="宋体" w:hAnsi="宋体"/>
                <w:sz w:val="21"/>
                <w:szCs w:val="21"/>
              </w:rPr>
            </w:pPr>
            <w:r>
              <w:rPr>
                <w:rFonts w:ascii="宋体" w:hAnsi="宋体"/>
                <w:sz w:val="21"/>
                <w:szCs w:val="21"/>
              </w:rPr>
              <w:t>2.《民用建筑节能条例》（2008年</w:t>
            </w:r>
            <w:r>
              <w:rPr>
                <w:rFonts w:hint="eastAsia" w:ascii="宋体" w:hAnsi="宋体"/>
                <w:sz w:val="21"/>
                <w:szCs w:val="21"/>
              </w:rPr>
              <w:t>8月1日中华人民共和国</w:t>
            </w:r>
            <w:r>
              <w:rPr>
                <w:rFonts w:ascii="宋体" w:hAnsi="宋体"/>
                <w:sz w:val="21"/>
                <w:szCs w:val="21"/>
              </w:rPr>
              <w:t>国务院令第530号</w:t>
            </w:r>
            <w:r>
              <w:rPr>
                <w:rFonts w:hint="eastAsia" w:ascii="宋体" w:hAnsi="宋体"/>
                <w:sz w:val="21"/>
                <w:szCs w:val="21"/>
              </w:rPr>
              <w:t>公布，2008年10月1日起施行</w:t>
            </w:r>
            <w:r>
              <w:rPr>
                <w:rFonts w:ascii="宋体" w:hAnsi="宋体"/>
                <w:sz w:val="21"/>
                <w:szCs w:val="21"/>
              </w:rPr>
              <w:t>）第十一条  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的能源消耗高的技术、材料和设备。</w:t>
            </w:r>
          </w:p>
          <w:p>
            <w:pPr>
              <w:spacing w:line="240" w:lineRule="exact"/>
              <w:ind w:firstLine="420" w:firstLineChars="200"/>
              <w:contextualSpacing/>
              <w:rPr>
                <w:rFonts w:ascii="宋体" w:hAnsi="宋体"/>
                <w:sz w:val="21"/>
                <w:szCs w:val="21"/>
              </w:rPr>
            </w:pPr>
            <w:r>
              <w:rPr>
                <w:rFonts w:hint="eastAsia" w:ascii="宋体" w:hAnsi="宋体"/>
                <w:sz w:val="21"/>
                <w:szCs w:val="21"/>
              </w:rPr>
              <w:t>3．《广西壮族自治区民用建筑节能条例》（2016年9月29日广西壮族自治区人大常委会十二届第60号公告发布，2017年1月1日起施行）第五条 县级以上人民政府应当支持民用建筑节能新技术、新工艺、新材料、新设备、新产品的开发与推广使用，限制或者禁止使用能源消耗高的技术、工艺、材料、设备和产品。</w:t>
            </w:r>
          </w:p>
          <w:p>
            <w:pPr>
              <w:spacing w:line="240" w:lineRule="exact"/>
              <w:ind w:firstLine="420" w:firstLineChars="200"/>
              <w:contextualSpacing/>
              <w:rPr>
                <w:rFonts w:ascii="宋体" w:hAnsi="宋体"/>
                <w:sz w:val="21"/>
                <w:szCs w:val="21"/>
              </w:rPr>
            </w:pPr>
            <w:r>
              <w:rPr>
                <w:rFonts w:hint="eastAsia" w:ascii="宋体" w:hAnsi="宋体"/>
                <w:sz w:val="21"/>
                <w:szCs w:val="21"/>
              </w:rPr>
              <w:t>4</w:t>
            </w:r>
            <w:r>
              <w:rPr>
                <w:rFonts w:ascii="宋体" w:hAnsi="宋体"/>
                <w:sz w:val="21"/>
                <w:szCs w:val="21"/>
              </w:rPr>
              <w:t>.《建设领域推广应用新技术管理规定》（2001年</w:t>
            </w:r>
            <w:r>
              <w:rPr>
                <w:rFonts w:hint="eastAsia" w:ascii="宋体" w:hAnsi="宋体"/>
                <w:sz w:val="21"/>
                <w:szCs w:val="21"/>
              </w:rPr>
              <w:t>11月29日</w:t>
            </w:r>
            <w:r>
              <w:rPr>
                <w:rFonts w:ascii="宋体" w:hAnsi="宋体"/>
                <w:sz w:val="21"/>
                <w:szCs w:val="21"/>
              </w:rPr>
              <w:t>建设部令第109号</w:t>
            </w:r>
            <w:r>
              <w:rPr>
                <w:rFonts w:hint="eastAsia" w:ascii="宋体" w:hAnsi="宋体"/>
                <w:sz w:val="21"/>
                <w:szCs w:val="21"/>
              </w:rPr>
              <w:t>发布，2001年11月29日起施行</w:t>
            </w:r>
            <w:r>
              <w:rPr>
                <w:rFonts w:ascii="宋体" w:hAnsi="宋体"/>
                <w:sz w:val="21"/>
                <w:szCs w:val="21"/>
              </w:rPr>
              <w:t>）第五条  国务院建设行政主管部门负责管理全国建设领域推广应用新技术和限制、禁止使用落后技术工作。县级以上地方人民政府建设行政主管部门负责管理本行政区域内建设领域推广应用新技术和限制、禁止使用落后技术工作。</w:t>
            </w:r>
          </w:p>
          <w:p>
            <w:pPr>
              <w:spacing w:line="240" w:lineRule="exact"/>
              <w:ind w:firstLine="420" w:firstLineChars="200"/>
              <w:contextualSpacing/>
              <w:rPr>
                <w:rFonts w:ascii="宋体" w:hAnsi="宋体"/>
                <w:sz w:val="21"/>
                <w:szCs w:val="21"/>
              </w:rPr>
            </w:pPr>
            <w:r>
              <w:rPr>
                <w:rFonts w:hint="eastAsia" w:ascii="宋体" w:hAnsi="宋体"/>
                <w:sz w:val="21"/>
                <w:szCs w:val="21"/>
              </w:rPr>
              <w:t>5．《广西壮族自治区建设领域推广应用新成果管理规定实施细则》（桂建科字〔2005〕3号）第六条 县级以上建设行政主管部门按照职责负责本行政区域内建设领域推广应用新成果和限用、禁用落后技术监督管理工作。</w:t>
            </w:r>
          </w:p>
          <w:p>
            <w:pPr>
              <w:spacing w:line="240" w:lineRule="exact"/>
              <w:ind w:firstLine="420" w:firstLineChars="200"/>
              <w:contextualSpacing/>
              <w:rPr>
                <w:rFonts w:ascii="宋体" w:hAnsi="宋体"/>
                <w:b/>
                <w:sz w:val="21"/>
                <w:szCs w:val="21"/>
              </w:rPr>
            </w:pPr>
            <w:r>
              <w:rPr>
                <w:rFonts w:hint="eastAsia" w:ascii="宋体" w:hAnsi="宋体"/>
                <w:sz w:val="21"/>
                <w:szCs w:val="21"/>
              </w:rPr>
              <w:t>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w:t>
            </w:r>
          </w:p>
          <w:p>
            <w:pPr>
              <w:spacing w:line="240" w:lineRule="exact"/>
              <w:rPr>
                <w:rFonts w:ascii="仿宋_GB2312" w:hAnsi="仿宋_GB2312" w:eastAsia="仿宋_GB2312" w:cs="仿宋_GB2312"/>
              </w:rPr>
            </w:pPr>
            <w:r>
              <w:rPr>
                <w:rFonts w:hint="eastAsia" w:ascii="宋体" w:hAnsi="宋体"/>
                <w:sz w:val="21"/>
                <w:szCs w:val="21"/>
              </w:rPr>
              <w:t>县及县级市建设行政主管部门的职责由上级建设行政主管部门确定。</w:t>
            </w:r>
          </w:p>
        </w:tc>
        <w:tc>
          <w:tcPr>
            <w:tcW w:w="2970" w:type="dxa"/>
            <w:vAlign w:val="center"/>
          </w:tcPr>
          <w:p>
            <w:pPr>
              <w:spacing w:line="400" w:lineRule="exact"/>
              <w:ind w:firstLine="420" w:firstLineChars="200"/>
              <w:contextualSpacing/>
              <w:rPr>
                <w:rFonts w:ascii="宋体" w:hAnsi="宋体"/>
                <w:sz w:val="21"/>
                <w:szCs w:val="21"/>
              </w:rPr>
            </w:pPr>
            <w:r>
              <w:rPr>
                <w:rFonts w:ascii="宋体" w:hAnsi="宋体"/>
                <w:sz w:val="21"/>
                <w:szCs w:val="21"/>
              </w:rPr>
              <w:t>1．审查责任：</w:t>
            </w:r>
            <w:r>
              <w:rPr>
                <w:rFonts w:hint="eastAsia" w:ascii="宋体" w:hAnsi="宋体"/>
                <w:sz w:val="21"/>
                <w:szCs w:val="21"/>
              </w:rPr>
              <w:t>按照自治区住建厅下发的征集通知，</w:t>
            </w:r>
            <w:r>
              <w:rPr>
                <w:rFonts w:ascii="宋体" w:hAnsi="宋体"/>
                <w:sz w:val="21"/>
                <w:szCs w:val="21"/>
              </w:rPr>
              <w:t>召开评审会；组织相关专家评审，进行材料审核；提出审查意见。</w:t>
            </w:r>
          </w:p>
          <w:p>
            <w:pPr>
              <w:spacing w:line="400" w:lineRule="exact"/>
              <w:ind w:firstLine="420" w:firstLineChars="200"/>
              <w:contextualSpacing/>
              <w:rPr>
                <w:rFonts w:ascii="宋体" w:hAnsi="宋体"/>
                <w:sz w:val="21"/>
                <w:szCs w:val="21"/>
              </w:rPr>
            </w:pPr>
            <w:r>
              <w:rPr>
                <w:rFonts w:hint="eastAsia" w:ascii="宋体" w:hAnsi="宋体"/>
                <w:sz w:val="21"/>
                <w:szCs w:val="21"/>
              </w:rPr>
              <w:t>2</w:t>
            </w:r>
            <w:r>
              <w:rPr>
                <w:rFonts w:ascii="宋体" w:hAnsi="宋体"/>
                <w:sz w:val="21"/>
                <w:szCs w:val="21"/>
              </w:rPr>
              <w:t>．决定责任：提出评审结果；作出通过或不通过决定，法定告知（不予通过评审的应当告知理由）；依法公示。</w:t>
            </w:r>
          </w:p>
          <w:p>
            <w:pPr>
              <w:spacing w:line="400" w:lineRule="exact"/>
              <w:ind w:firstLine="420" w:firstLineChars="200"/>
              <w:contextualSpacing/>
              <w:rPr>
                <w:rFonts w:ascii="宋体" w:hAnsi="宋体"/>
                <w:sz w:val="21"/>
                <w:szCs w:val="21"/>
              </w:rPr>
            </w:pPr>
            <w:r>
              <w:rPr>
                <w:rFonts w:hint="eastAsia" w:ascii="宋体" w:hAnsi="宋体"/>
                <w:sz w:val="21"/>
                <w:szCs w:val="21"/>
              </w:rPr>
              <w:t>3</w:t>
            </w:r>
            <w:r>
              <w:rPr>
                <w:rFonts w:ascii="宋体" w:hAnsi="宋体"/>
                <w:sz w:val="21"/>
                <w:szCs w:val="21"/>
              </w:rPr>
              <w:t>．送达责任：</w:t>
            </w:r>
            <w:r>
              <w:rPr>
                <w:rFonts w:hint="eastAsia" w:ascii="宋体" w:hAnsi="宋体"/>
                <w:sz w:val="21"/>
                <w:szCs w:val="21"/>
              </w:rPr>
              <w:t>将《xx年柳州报送自治区建设领域推广应用</w:t>
            </w:r>
            <w:r>
              <w:rPr>
                <w:rFonts w:ascii="宋体" w:hAnsi="宋体"/>
                <w:sz w:val="21"/>
                <w:szCs w:val="21"/>
              </w:rPr>
              <w:t>建设领域新技术和新产品</w:t>
            </w:r>
            <w:r>
              <w:rPr>
                <w:rFonts w:hint="eastAsia" w:ascii="宋体" w:hAnsi="宋体"/>
                <w:sz w:val="21"/>
                <w:szCs w:val="21"/>
              </w:rPr>
              <w:t>的请示》上报自治区住建厅</w:t>
            </w:r>
            <w:r>
              <w:rPr>
                <w:rFonts w:ascii="宋体" w:hAnsi="宋体"/>
                <w:sz w:val="21"/>
                <w:szCs w:val="21"/>
              </w:rPr>
              <w:t>；信息公开。</w:t>
            </w:r>
          </w:p>
          <w:p>
            <w:pPr>
              <w:spacing w:line="400" w:lineRule="exact"/>
              <w:ind w:firstLine="420" w:firstLineChars="200"/>
              <w:contextualSpacing/>
              <w:rPr>
                <w:rFonts w:ascii="宋体" w:hAnsi="宋体"/>
                <w:sz w:val="21"/>
                <w:szCs w:val="21"/>
              </w:rPr>
            </w:pPr>
            <w:r>
              <w:rPr>
                <w:rFonts w:hint="eastAsia" w:ascii="宋体" w:hAnsi="宋体"/>
                <w:sz w:val="21"/>
                <w:szCs w:val="21"/>
              </w:rPr>
              <w:t>4</w:t>
            </w:r>
            <w:r>
              <w:rPr>
                <w:rFonts w:ascii="宋体" w:hAnsi="宋体"/>
                <w:sz w:val="21"/>
                <w:szCs w:val="21"/>
              </w:rPr>
              <w:t>．监管责任：加强监督；依法查处违规行为。</w:t>
            </w:r>
          </w:p>
          <w:p>
            <w:pPr>
              <w:rPr>
                <w:rFonts w:ascii="仿宋_GB2312" w:hAnsi="仿宋_GB2312" w:eastAsia="仿宋_GB2312" w:cs="仿宋_GB2312"/>
              </w:rPr>
            </w:pPr>
            <w:r>
              <w:rPr>
                <w:rFonts w:hint="eastAsia" w:ascii="宋体" w:hAnsi="宋体"/>
                <w:sz w:val="21"/>
                <w:szCs w:val="21"/>
              </w:rPr>
              <w:t>5</w:t>
            </w:r>
            <w:r>
              <w:rPr>
                <w:rFonts w:ascii="宋体" w:hAnsi="宋体"/>
                <w:sz w:val="21"/>
                <w:szCs w:val="21"/>
              </w:rPr>
              <w:t>．其他法律法规规章文件规定应履行的责任。</w:t>
            </w:r>
          </w:p>
        </w:tc>
        <w:tc>
          <w:tcPr>
            <w:tcW w:w="4207" w:type="dxa"/>
            <w:vAlign w:val="center"/>
          </w:tcPr>
          <w:p>
            <w:pPr>
              <w:numPr>
                <w:ilvl w:val="0"/>
                <w:numId w:val="25"/>
              </w:numPr>
              <w:rPr>
                <w:rFonts w:ascii="仿宋_GB2312" w:hAnsi="仿宋_GB2312" w:eastAsia="仿宋_GB2312" w:cs="仿宋_GB2312"/>
              </w:rPr>
            </w:pPr>
            <w:r>
              <w:rPr>
                <w:rFonts w:hint="eastAsia" w:ascii="仿宋_GB2312" w:hAnsi="仿宋_GB2312" w:eastAsia="仿宋_GB2312" w:cs="仿宋_GB2312"/>
              </w:rPr>
              <w:t xml:space="preserve">【规章】《建设领域推广应用新技术管理规定》(建设部令第 109号,已于2001年11月2日建设部第50次常务会议审议通过,现予发布,自发布之日起施行) 第十四条 “县级以上人民政府建设行政主管部门，应当确定相应的机构和人员，负责新技术的推广应用、限制和禁止使用落后技术工作。” </w:t>
            </w:r>
            <w:r>
              <w:rPr>
                <w:rFonts w:hint="eastAsia" w:ascii="仿宋_GB2312" w:hAnsi="仿宋_GB2312" w:eastAsia="仿宋_GB2312" w:cs="仿宋_GB2312"/>
              </w:rPr>
              <w:br w:type="textWrapping"/>
            </w:r>
            <w:r>
              <w:rPr>
                <w:rFonts w:hint="eastAsia" w:ascii="仿宋_GB2312" w:hAnsi="仿宋_GB2312" w:eastAsia="仿宋_GB2312" w:cs="仿宋_GB2312"/>
              </w:rPr>
              <w:t>　　第十九条 “县级以上人民政府建设行政主管部门应当加强对有关单位执行《技术公告》的监督管理，对明令限制或者禁止使用的内容，应当采取有效措施限制或者禁止使用。 ”</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其他法律法规</w:t>
            </w:r>
          </w:p>
        </w:tc>
        <w:tc>
          <w:tcPr>
            <w:tcW w:w="2258" w:type="dxa"/>
            <w:vAlign w:val="center"/>
          </w:tcPr>
          <w:p>
            <w:pPr>
              <w:spacing w:line="400" w:lineRule="exact"/>
              <w:ind w:firstLine="420" w:firstLineChars="200"/>
              <w:contextualSpacing/>
              <w:rPr>
                <w:rFonts w:ascii="宋体" w:hAnsi="宋体"/>
                <w:sz w:val="21"/>
                <w:szCs w:val="21"/>
              </w:rPr>
            </w:pPr>
            <w:r>
              <w:rPr>
                <w:rFonts w:ascii="宋体" w:hAnsi="宋体"/>
                <w:sz w:val="21"/>
                <w:szCs w:val="21"/>
              </w:rPr>
              <w:t>因不履行或不正确履行行政职责，有下列情形的行政机关及相关人员应承担相应的责任：</w:t>
            </w:r>
          </w:p>
          <w:p>
            <w:pPr>
              <w:spacing w:line="400" w:lineRule="exact"/>
              <w:ind w:firstLine="420" w:firstLineChars="200"/>
              <w:contextualSpacing/>
              <w:rPr>
                <w:rFonts w:ascii="宋体" w:hAnsi="宋体"/>
                <w:sz w:val="21"/>
                <w:szCs w:val="21"/>
              </w:rPr>
            </w:pPr>
            <w:r>
              <w:rPr>
                <w:rFonts w:ascii="宋体" w:hAnsi="宋体"/>
                <w:sz w:val="21"/>
                <w:szCs w:val="21"/>
              </w:rPr>
              <w:t>1．对符合法定条件的申请单位不予受理的；</w:t>
            </w:r>
          </w:p>
          <w:p>
            <w:pPr>
              <w:spacing w:line="400" w:lineRule="exact"/>
              <w:ind w:firstLine="420" w:firstLineChars="200"/>
              <w:contextualSpacing/>
              <w:rPr>
                <w:rFonts w:ascii="宋体" w:hAnsi="宋体"/>
                <w:sz w:val="21"/>
                <w:szCs w:val="21"/>
              </w:rPr>
            </w:pPr>
            <w:r>
              <w:rPr>
                <w:rFonts w:ascii="宋体" w:hAnsi="宋体"/>
                <w:sz w:val="21"/>
                <w:szCs w:val="21"/>
              </w:rPr>
              <w:t>2．对不符合法定条件的申请单位予以受理的；</w:t>
            </w:r>
          </w:p>
          <w:p>
            <w:pPr>
              <w:spacing w:line="400" w:lineRule="exact"/>
              <w:ind w:firstLine="420" w:firstLineChars="200"/>
              <w:contextualSpacing/>
              <w:rPr>
                <w:rFonts w:ascii="宋体" w:hAnsi="宋体"/>
                <w:sz w:val="21"/>
                <w:szCs w:val="21"/>
              </w:rPr>
            </w:pPr>
            <w:r>
              <w:rPr>
                <w:rFonts w:hint="eastAsia" w:ascii="宋体" w:hAnsi="宋体"/>
                <w:sz w:val="21"/>
                <w:szCs w:val="21"/>
              </w:rPr>
              <w:t>3</w:t>
            </w:r>
            <w:r>
              <w:rPr>
                <w:rFonts w:ascii="宋体" w:hAnsi="宋体"/>
                <w:sz w:val="21"/>
                <w:szCs w:val="21"/>
              </w:rPr>
              <w:t>．未严格按照相关法律、法规、政策履行审查义务，致使符合条件的新技术、新产品不能入选，造成企业较大损失的；</w:t>
            </w:r>
          </w:p>
          <w:p>
            <w:pPr>
              <w:spacing w:line="400" w:lineRule="exact"/>
              <w:ind w:firstLine="420" w:firstLineChars="200"/>
              <w:contextualSpacing/>
              <w:rPr>
                <w:rFonts w:ascii="宋体" w:hAnsi="宋体"/>
                <w:sz w:val="21"/>
                <w:szCs w:val="21"/>
              </w:rPr>
            </w:pPr>
            <w:r>
              <w:rPr>
                <w:rFonts w:hint="eastAsia" w:ascii="宋体" w:hAnsi="宋体"/>
                <w:sz w:val="21"/>
                <w:szCs w:val="21"/>
              </w:rPr>
              <w:t>4．</w:t>
            </w:r>
            <w:r>
              <w:rPr>
                <w:rFonts w:ascii="宋体" w:hAnsi="宋体"/>
                <w:sz w:val="21"/>
                <w:szCs w:val="21"/>
              </w:rPr>
              <w:t>审查人员因失职、渎职，导致不符合条件的技术、产品入选，产生不良影响的；</w:t>
            </w:r>
          </w:p>
          <w:p>
            <w:pPr>
              <w:spacing w:line="400" w:lineRule="exact"/>
              <w:ind w:firstLine="420" w:firstLineChars="200"/>
              <w:contextualSpacing/>
              <w:rPr>
                <w:rFonts w:ascii="宋体" w:hAnsi="宋体"/>
                <w:sz w:val="21"/>
                <w:szCs w:val="21"/>
              </w:rPr>
            </w:pPr>
            <w:r>
              <w:rPr>
                <w:rFonts w:hint="eastAsia" w:ascii="宋体" w:hAnsi="宋体"/>
                <w:sz w:val="21"/>
                <w:szCs w:val="21"/>
              </w:rPr>
              <w:t>5</w:t>
            </w:r>
            <w:r>
              <w:rPr>
                <w:rFonts w:ascii="宋体" w:hAnsi="宋体"/>
                <w:sz w:val="21"/>
                <w:szCs w:val="21"/>
              </w:rPr>
              <w:t>．擅自增设、变更涉及评选程序或核准条件的；</w:t>
            </w:r>
          </w:p>
          <w:p>
            <w:pPr>
              <w:spacing w:line="400" w:lineRule="exact"/>
              <w:ind w:firstLine="420" w:firstLineChars="200"/>
              <w:contextualSpacing/>
              <w:rPr>
                <w:rFonts w:ascii="宋体" w:hAnsi="宋体"/>
                <w:sz w:val="21"/>
                <w:szCs w:val="21"/>
              </w:rPr>
            </w:pPr>
            <w:r>
              <w:rPr>
                <w:rFonts w:hint="eastAsia" w:ascii="宋体" w:hAnsi="宋体"/>
                <w:sz w:val="21"/>
                <w:szCs w:val="21"/>
              </w:rPr>
              <w:t>6</w:t>
            </w:r>
            <w:r>
              <w:rPr>
                <w:rFonts w:ascii="宋体" w:hAnsi="宋体"/>
                <w:sz w:val="21"/>
                <w:szCs w:val="21"/>
              </w:rPr>
              <w:t>．在评审过程中滥用职权、玩忽职守、徇私舞弊，擅自更改评选结果，造成评选结果不公平、不公正的；</w:t>
            </w:r>
          </w:p>
          <w:p>
            <w:pPr>
              <w:spacing w:line="400" w:lineRule="exact"/>
              <w:ind w:firstLine="420" w:firstLineChars="200"/>
              <w:contextualSpacing/>
              <w:rPr>
                <w:rFonts w:ascii="宋体" w:hAnsi="宋体"/>
                <w:sz w:val="21"/>
                <w:szCs w:val="21"/>
              </w:rPr>
            </w:pPr>
            <w:r>
              <w:rPr>
                <w:rFonts w:hint="eastAsia" w:ascii="宋体" w:hAnsi="宋体"/>
                <w:sz w:val="21"/>
                <w:szCs w:val="21"/>
              </w:rPr>
              <w:t>7．</w:t>
            </w:r>
            <w:r>
              <w:rPr>
                <w:rFonts w:ascii="宋体" w:hAnsi="宋体"/>
                <w:sz w:val="21"/>
                <w:szCs w:val="21"/>
              </w:rPr>
              <w:t>在认定过程中刁难企业、收取贿赂或为他人谋取不当利益的；</w:t>
            </w:r>
          </w:p>
          <w:p>
            <w:pPr>
              <w:textAlignment w:val="center"/>
              <w:rPr>
                <w:rFonts w:ascii="仿宋_GB2312" w:hAnsi="仿宋_GB2312" w:eastAsia="仿宋_GB2312" w:cs="仿宋_GB2312"/>
                <w:snapToGrid w:val="0"/>
                <w:color w:val="000000"/>
              </w:rPr>
            </w:pPr>
            <w:r>
              <w:rPr>
                <w:rFonts w:hint="eastAsia" w:ascii="宋体" w:hAnsi="宋体"/>
                <w:sz w:val="21"/>
                <w:szCs w:val="21"/>
              </w:rPr>
              <w:t>8</w:t>
            </w:r>
            <w:r>
              <w:rPr>
                <w:rFonts w:ascii="宋体" w:hAnsi="宋体"/>
                <w:sz w:val="21"/>
                <w:szCs w:val="21"/>
              </w:rPr>
              <w:t>．其他违反法律法规规定的行为。</w:t>
            </w:r>
          </w:p>
        </w:tc>
        <w:tc>
          <w:tcPr>
            <w:tcW w:w="4858" w:type="dxa"/>
            <w:vAlign w:val="center"/>
          </w:tcPr>
          <w:p>
            <w:pPr>
              <w:spacing w:line="240" w:lineRule="exact"/>
              <w:ind w:firstLine="400" w:firstLineChars="200"/>
              <w:contextualSpacing/>
              <w:rPr>
                <w:rFonts w:ascii="宋体" w:hAnsi="宋体"/>
                <w:sz w:val="21"/>
                <w:szCs w:val="21"/>
              </w:rPr>
            </w:pPr>
            <w:r>
              <w:rPr>
                <w:rFonts w:hint="eastAsia" w:ascii="仿宋_GB2312" w:hAnsi="仿宋_GB2312" w:eastAsia="仿宋_GB2312" w:cs="仿宋_GB2312"/>
              </w:rPr>
              <w:t xml:space="preserve"> 1.【规范性文件】</w:t>
            </w:r>
            <w:r>
              <w:rPr>
                <w:rFonts w:hint="eastAsia" w:ascii="宋体" w:hAnsi="宋体"/>
                <w:sz w:val="21"/>
                <w:szCs w:val="21"/>
              </w:rPr>
              <w:t>5．《广西壮族自治区建设领域推广应用新成果管理规定实施细则》（桂建科字〔2005〕3号）第六条 县级以上建设行政主管部门按照职责负责本行政区域内建设领域推广应用新成果和限用、禁用落后技术监督管理工作。</w:t>
            </w:r>
          </w:p>
          <w:p>
            <w:pPr>
              <w:spacing w:line="240" w:lineRule="exact"/>
              <w:ind w:firstLine="420" w:firstLineChars="200"/>
              <w:contextualSpacing/>
              <w:rPr>
                <w:rFonts w:ascii="宋体" w:hAnsi="宋体"/>
                <w:b/>
                <w:sz w:val="21"/>
                <w:szCs w:val="21"/>
              </w:rPr>
            </w:pPr>
            <w:r>
              <w:rPr>
                <w:rFonts w:hint="eastAsia" w:ascii="宋体" w:hAnsi="宋体"/>
                <w:sz w:val="21"/>
                <w:szCs w:val="21"/>
              </w:rPr>
              <w:t>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w:t>
            </w:r>
          </w:p>
          <w:p>
            <w:pPr>
              <w:textAlignment w:val="center"/>
              <w:rPr>
                <w:rFonts w:ascii="仿宋_GB2312" w:hAnsi="仿宋_GB2312" w:eastAsia="仿宋_GB2312" w:cs="仿宋_GB2312"/>
              </w:rPr>
            </w:pPr>
            <w:r>
              <w:rPr>
                <w:rFonts w:hint="eastAsia" w:ascii="宋体" w:hAnsi="宋体"/>
                <w:sz w:val="21"/>
                <w:szCs w:val="21"/>
              </w:rPr>
              <w:t>县及县级市建设行政主管部门的职责由上级建设行政主管部门确定。</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4.同1</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6.同1.</w:t>
            </w:r>
          </w:p>
          <w:p>
            <w:pPr>
              <w:textAlignment w:val="center"/>
              <w:rPr>
                <w:rFonts w:ascii="仿宋_GB2312" w:hAnsi="仿宋_GB2312" w:eastAsia="仿宋_GB2312" w:cs="仿宋_GB2312"/>
              </w:rPr>
            </w:pPr>
            <w:r>
              <w:rPr>
                <w:rFonts w:hint="eastAsia" w:ascii="仿宋_GB2312" w:hAnsi="仿宋_GB2312" w:eastAsia="仿宋_GB2312" w:cs="仿宋_GB2312"/>
              </w:rPr>
              <w:t>7同1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8.其他法律法规</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83</w:t>
            </w:r>
          </w:p>
        </w:tc>
        <w:tc>
          <w:tcPr>
            <w:tcW w:w="735" w:type="dxa"/>
            <w:vAlign w:val="center"/>
          </w:tcPr>
          <w:p>
            <w:pPr>
              <w:jc w:val="center"/>
              <w:textAlignment w:val="center"/>
              <w:rPr>
                <w:rFonts w:ascii="仿宋_GB2312" w:hAnsi="仿宋_GB2312" w:eastAsia="仿宋_GB2312" w:cs="仿宋_GB2312"/>
              </w:rPr>
            </w:pPr>
            <w:r>
              <w:rPr>
                <w:rFonts w:hint="eastAsia" w:ascii="宋体" w:hAnsi="宋体" w:cs="宋体"/>
                <w:color w:val="000000"/>
              </w:rPr>
              <w:t>其他行政权力</w:t>
            </w:r>
          </w:p>
        </w:tc>
        <w:tc>
          <w:tcPr>
            <w:tcW w:w="705"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对开发建设单位维修资金交存情况进行的监督</w:t>
            </w:r>
          </w:p>
        </w:tc>
        <w:tc>
          <w:tcPr>
            <w:tcW w:w="485"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无</w:t>
            </w:r>
          </w:p>
        </w:tc>
        <w:tc>
          <w:tcPr>
            <w:tcW w:w="3295"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【规章】《住宅专项维修资金管理办法》（建设部、财政部第165号）第五条第二款 县级以上地方人民政府建设（房地产）主管部门会同同级财政部门负责本行政区域内住宅专项维修资金的指导和监督工作。</w:t>
            </w:r>
          </w:p>
        </w:tc>
        <w:tc>
          <w:tcPr>
            <w:tcW w:w="2970"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b/>
                <w:color w:val="000000"/>
              </w:rPr>
              <w:t>1.告知责任</w:t>
            </w:r>
            <w:r>
              <w:rPr>
                <w:rFonts w:hint="eastAsia" w:ascii="宋体" w:hAnsi="宋体" w:cs="宋体"/>
                <w:color w:val="000000"/>
              </w:rPr>
              <w:t>：制定检查方案，内容包括检查和判定依据、主要检查项目、承检范围等。</w:t>
            </w:r>
            <w:r>
              <w:rPr>
                <w:rFonts w:hint="eastAsia" w:ascii="宋体" w:hAnsi="宋体" w:cs="宋体"/>
                <w:color w:val="000000"/>
              </w:rPr>
              <w:br w:type="textWrapping"/>
            </w:r>
            <w:r>
              <w:rPr>
                <w:rStyle w:val="15"/>
                <w:rFonts w:hint="default"/>
              </w:rPr>
              <w:t>2.检查责任：</w:t>
            </w:r>
            <w:r>
              <w:rPr>
                <w:rFonts w:hint="eastAsia" w:ascii="宋体" w:hAnsi="宋体" w:cs="宋体"/>
                <w:color w:val="000000"/>
              </w:rPr>
              <w:t>依法对房开企业行为进行现场检查等。依法对各市住宅专项维修资金的归集、使用和监督管理情况进行检查。</w:t>
            </w:r>
            <w:r>
              <w:rPr>
                <w:rFonts w:hint="eastAsia" w:ascii="宋体" w:hAnsi="宋体" w:cs="宋体"/>
                <w:color w:val="000000"/>
              </w:rPr>
              <w:br w:type="textWrapping"/>
            </w:r>
            <w:r>
              <w:rPr>
                <w:rStyle w:val="15"/>
                <w:rFonts w:hint="default"/>
              </w:rPr>
              <w:t>3.督促整改责任</w:t>
            </w:r>
            <w:r>
              <w:rPr>
                <w:rFonts w:hint="eastAsia" w:ascii="宋体" w:hAnsi="宋体" w:cs="宋体"/>
                <w:color w:val="000000"/>
              </w:rPr>
              <w:t>：针对检查中发现的问题，提出整改措施。违反相关法律、法规和规章的，责令整改；逾期未整改的，转为行政处罚。</w:t>
            </w:r>
            <w:r>
              <w:rPr>
                <w:rFonts w:hint="eastAsia" w:ascii="宋体" w:hAnsi="宋体" w:cs="宋体"/>
                <w:color w:val="000000"/>
              </w:rPr>
              <w:br w:type="textWrapping"/>
            </w:r>
            <w:r>
              <w:rPr>
                <w:rFonts w:hint="eastAsia" w:ascii="宋体" w:hAnsi="宋体" w:cs="宋体"/>
                <w:color w:val="000000"/>
              </w:rPr>
              <w:t>4.其他法律法规规章文件规定应履行的责任。</w:t>
            </w:r>
          </w:p>
        </w:tc>
        <w:tc>
          <w:tcPr>
            <w:tcW w:w="4950"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1.【规章】《住宅专项维修资金管理办法》（2007年建设部、财政部第165号发布）第五条第二款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宋体" w:hAnsi="宋体" w:cs="宋体"/>
                <w:color w:val="000000"/>
              </w:rPr>
              <w:br w:type="textWrapping"/>
            </w:r>
            <w:r>
              <w:rPr>
                <w:rFonts w:hint="eastAsia" w:ascii="宋体" w:hAnsi="宋体" w:cs="宋体"/>
                <w:color w:val="000000"/>
              </w:rPr>
              <w:t>2.同1</w:t>
            </w:r>
            <w:r>
              <w:rPr>
                <w:rFonts w:hint="eastAsia" w:ascii="宋体" w:hAnsi="宋体" w:cs="宋体"/>
                <w:color w:val="000000"/>
              </w:rPr>
              <w:br w:type="textWrapping"/>
            </w:r>
            <w:r>
              <w:rPr>
                <w:rFonts w:hint="eastAsia" w:ascii="宋体" w:hAnsi="宋体" w:cs="宋体"/>
                <w:color w:val="000000"/>
              </w:rPr>
              <w:t>3.同1</w:t>
            </w:r>
            <w:r>
              <w:rPr>
                <w:rFonts w:hint="eastAsia" w:ascii="宋体" w:hAnsi="宋体" w:cs="宋体"/>
                <w:color w:val="000000"/>
              </w:rPr>
              <w:br w:type="textWrapping"/>
            </w:r>
            <w:r>
              <w:rPr>
                <w:rFonts w:hint="eastAsia" w:ascii="宋体" w:hAnsi="宋体" w:cs="宋体"/>
                <w:color w:val="000000"/>
              </w:rPr>
              <w:t>4.其他法律法规</w:t>
            </w:r>
          </w:p>
        </w:tc>
        <w:tc>
          <w:tcPr>
            <w:tcW w:w="1515"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 xml:space="preserve">下列情形的，行政机关及相关工作人员应承担相应责任：            </w:t>
            </w:r>
            <w:r>
              <w:rPr>
                <w:rFonts w:hint="eastAsia" w:ascii="宋体" w:hAnsi="宋体" w:cs="宋体"/>
                <w:color w:val="000000"/>
              </w:rPr>
              <w:br w:type="textWrapping"/>
            </w:r>
            <w:r>
              <w:rPr>
                <w:rFonts w:hint="eastAsia" w:ascii="宋体" w:hAnsi="宋体" w:cs="宋体"/>
                <w:color w:val="000000"/>
              </w:rPr>
              <w:t>1.无法定依据或者超越法定权限实施检查的。</w:t>
            </w:r>
            <w:r>
              <w:rPr>
                <w:rFonts w:hint="eastAsia" w:ascii="宋体" w:hAnsi="宋体" w:cs="宋体"/>
                <w:color w:val="000000"/>
              </w:rPr>
              <w:br w:type="textWrapping"/>
            </w:r>
            <w:r>
              <w:rPr>
                <w:rFonts w:hint="eastAsia" w:ascii="宋体" w:hAnsi="宋体" w:cs="宋体"/>
                <w:color w:val="000000"/>
              </w:rPr>
              <w:t>2.无具体理由、事项、内容实施检查或者不出示法定行政执法证件实施检查的。</w:t>
            </w:r>
            <w:r>
              <w:rPr>
                <w:rFonts w:hint="eastAsia" w:ascii="宋体" w:hAnsi="宋体" w:cs="宋体"/>
                <w:color w:val="000000"/>
              </w:rPr>
              <w:br w:type="textWrapping"/>
            </w:r>
            <w:r>
              <w:rPr>
                <w:rFonts w:hint="eastAsia" w:ascii="宋体" w:hAnsi="宋体" w:cs="宋体"/>
                <w:color w:val="000000"/>
              </w:rPr>
              <w:t>3.违反法定程序实施检查的。</w:t>
            </w:r>
            <w:r>
              <w:rPr>
                <w:rFonts w:hint="eastAsia" w:ascii="宋体" w:hAnsi="宋体" w:cs="宋体"/>
                <w:color w:val="000000"/>
              </w:rPr>
              <w:br w:type="textWrapping"/>
            </w:r>
            <w:r>
              <w:rPr>
                <w:rFonts w:hint="eastAsia" w:ascii="宋体" w:hAnsi="宋体" w:cs="宋体"/>
                <w:color w:val="000000"/>
              </w:rPr>
              <w:t>4.放弃、推诿、拖延、拒绝履行检查职责的。</w:t>
            </w:r>
            <w:r>
              <w:rPr>
                <w:rFonts w:hint="eastAsia" w:ascii="宋体" w:hAnsi="宋体" w:cs="宋体"/>
                <w:color w:val="000000"/>
              </w:rPr>
              <w:br w:type="textWrapping"/>
            </w:r>
            <w:r>
              <w:rPr>
                <w:rFonts w:hint="eastAsia" w:ascii="宋体" w:hAnsi="宋体" w:cs="宋体"/>
                <w:color w:val="000000"/>
              </w:rPr>
              <w:t>5.对发现的违法行为不制止、不纠正的。</w:t>
            </w:r>
            <w:r>
              <w:rPr>
                <w:rFonts w:hint="eastAsia" w:ascii="宋体" w:hAnsi="宋体" w:cs="宋体"/>
                <w:color w:val="000000"/>
              </w:rPr>
              <w:br w:type="textWrapping"/>
            </w:r>
            <w:r>
              <w:rPr>
                <w:rFonts w:hint="eastAsia" w:ascii="宋体" w:hAnsi="宋体" w:cs="宋体"/>
                <w:color w:val="000000"/>
              </w:rPr>
              <w:t>6.在检查和决定环节，徇私舞弊或者玩忽职守，对发现的行政相对人违法事实隐瞒不报或少报的.</w:t>
            </w:r>
          </w:p>
        </w:tc>
        <w:tc>
          <w:tcPr>
            <w:tcW w:w="4858" w:type="dxa"/>
            <w:vAlign w:val="center"/>
          </w:tcPr>
          <w:p>
            <w:pPr>
              <w:jc w:val="center"/>
              <w:textAlignment w:val="center"/>
              <w:rPr>
                <w:rFonts w:ascii="仿宋_GB2312" w:hAnsi="仿宋_GB2312" w:eastAsia="仿宋_GB2312" w:cs="仿宋_GB2312"/>
                <w:color w:val="000000"/>
              </w:rPr>
            </w:pPr>
            <w:r>
              <w:rPr>
                <w:rFonts w:hint="eastAsia" w:ascii="宋体" w:hAnsi="宋体" w:cs="宋体"/>
                <w:color w:val="000000"/>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r>
              <w:rPr>
                <w:rFonts w:hint="eastAsia" w:ascii="宋体" w:hAnsi="宋体" w:cs="宋体"/>
                <w:color w:val="000000"/>
              </w:rPr>
              <w:br w:type="textWrapping"/>
            </w:r>
            <w:r>
              <w:rPr>
                <w:rFonts w:hint="eastAsia" w:ascii="宋体" w:hAnsi="宋体" w:cs="宋体"/>
                <w:color w:val="000000"/>
              </w:rPr>
              <w:t xml:space="preserve"> 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r>
              <w:rPr>
                <w:rFonts w:hint="eastAsia" w:ascii="宋体" w:hAnsi="宋体" w:cs="宋体"/>
                <w:color w:val="000000"/>
              </w:rPr>
              <w:br w:type="textWrapping"/>
            </w:r>
            <w:r>
              <w:rPr>
                <w:rFonts w:hint="eastAsia" w:ascii="宋体" w:hAnsi="宋体" w:cs="宋体"/>
                <w:color w:val="000000"/>
              </w:rPr>
              <w:t>3.同1.</w:t>
            </w:r>
            <w:r>
              <w:rPr>
                <w:rFonts w:hint="eastAsia" w:ascii="宋体" w:hAnsi="宋体" w:cs="宋体"/>
                <w:color w:val="000000"/>
              </w:rPr>
              <w:br w:type="textWrapping"/>
            </w:r>
            <w:r>
              <w:rPr>
                <w:rFonts w:hint="eastAsia" w:ascii="宋体" w:hAnsi="宋体" w:cs="宋体"/>
                <w:color w:val="000000"/>
              </w:rPr>
              <w:t>4.同1</w:t>
            </w:r>
            <w:r>
              <w:rPr>
                <w:rFonts w:hint="eastAsia" w:ascii="宋体" w:hAnsi="宋体" w:cs="宋体"/>
                <w:color w:val="000000"/>
              </w:rPr>
              <w:br w:type="textWrapping"/>
            </w:r>
            <w:r>
              <w:rPr>
                <w:rFonts w:hint="eastAsia" w:ascii="宋体" w:hAnsi="宋体" w:cs="宋体"/>
                <w:color w:val="000000"/>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r>
              <w:rPr>
                <w:rFonts w:hint="eastAsia" w:ascii="宋体" w:hAnsi="宋体" w:cs="宋体"/>
                <w:color w:val="000000"/>
              </w:rPr>
              <w:br w:type="textWrapping"/>
            </w:r>
            <w:r>
              <w:rPr>
                <w:rFonts w:hint="eastAsia" w:ascii="宋体" w:hAnsi="宋体" w:cs="宋体"/>
                <w:color w:val="000000"/>
              </w:rPr>
              <w:t>6.同4</w:t>
            </w:r>
          </w:p>
        </w:tc>
        <w:tc>
          <w:tcPr>
            <w:tcW w:w="984"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其他行政权力</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84</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宋体" w:hAnsi="宋体" w:cs="宋体"/>
                <w:color w:val="00000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对城镇污水集中处理设施运营情况的监督</w:t>
            </w:r>
          </w:p>
        </w:tc>
        <w:tc>
          <w:tcPr>
            <w:tcW w:w="485"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ind w:firstLine="400" w:firstLineChars="200"/>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257"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257" w:lineRule="exact"/>
              <w:ind w:firstLine="401"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 xml:space="preserve"> 1-1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p>
          <w:p>
            <w:pPr>
              <w:adjustRightInd w:val="0"/>
              <w:snapToGrid w:val="0"/>
              <w:spacing w:line="320" w:lineRule="exac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ind w:firstLine="300" w:firstLineChars="150"/>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《中华人民共和国水污染防治法》第六十九条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《城镇排水与污水处理条例》第四十六条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工程勘察设计招标投标的监督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spacing w:line="240" w:lineRule="atLeast"/>
              <w:rPr>
                <w:rFonts w:ascii="仿宋_GB2312" w:hAnsi="仿宋_GB2312" w:eastAsia="仿宋_GB2312" w:cs="仿宋_GB2312"/>
              </w:rPr>
            </w:pPr>
            <w:r>
              <w:rPr>
                <w:rFonts w:hint="eastAsia" w:ascii="仿宋_GB2312" w:hAnsi="仿宋_GB2312" w:eastAsia="仿宋_GB2312" w:cs="仿宋_GB2312"/>
              </w:rPr>
              <w:t>2.【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pPr>
              <w:adjustRightInd w:val="0"/>
              <w:snapToGrid w:val="0"/>
              <w:spacing w:line="240" w:lineRule="atLeast"/>
              <w:ind w:firstLine="400" w:firstLineChars="200"/>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snapToGrid w:val="0"/>
                <w:color w:val="000000"/>
              </w:rPr>
            </w:pPr>
          </w:p>
        </w:tc>
        <w:tc>
          <w:tcPr>
            <w:tcW w:w="2970" w:type="dxa"/>
            <w:shd w:val="clear" w:color="auto" w:fill="auto"/>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：制定检查方案，下发检查督查通知（暗访不通知）。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：作出予以责令整改、停工整改、</w:t>
            </w:r>
            <w:r>
              <w:rPr>
                <w:rFonts w:hint="eastAsia" w:ascii="仿宋_GB2312" w:hAnsi="仿宋_GB2312" w:eastAsia="仿宋_GB2312" w:cs="仿宋_GB2312"/>
              </w:rPr>
              <w:t>移交违法线索、</w:t>
            </w:r>
            <w:r>
              <w:rPr>
                <w:rFonts w:ascii="仿宋_GB2312" w:hAnsi="仿宋_GB2312" w:eastAsia="仿宋_GB2312" w:cs="仿宋_GB2312"/>
              </w:rPr>
              <w:t>记入诚信档案等相应处理措施并向社会公布检查处理结果。</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：强化对建设工程招标投标活动的监管。</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5.其他法律法规规章文件规定应履行的责任 。</w:t>
            </w:r>
          </w:p>
        </w:tc>
        <w:tc>
          <w:tcPr>
            <w:tcW w:w="4950" w:type="dxa"/>
            <w:shd w:val="clear" w:color="auto" w:fill="auto"/>
            <w:vAlign w:val="center"/>
          </w:tcPr>
          <w:p>
            <w:pPr>
              <w:spacing w:line="240" w:lineRule="atLeas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1.不依法审批、核准项目招标范围、招标方式、招标组织形式的;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2.限制、排斥本地区、本系统以外的法人或者其他组织参加投标的;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3.不按照规定处理投诉和举报的;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4.非法干涉招标人自主选择招标代理机构、组建评标委员会或者确定中标人;</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5.违法收取额外费用的;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6.其他徇私舞弊、滥用职权、玩忽职守的行为。</w:t>
            </w:r>
          </w:p>
          <w:p>
            <w:pPr>
              <w:spacing w:line="240" w:lineRule="atLeast"/>
              <w:textAlignment w:val="center"/>
              <w:rPr>
                <w:rFonts w:ascii="仿宋_GB2312" w:hAnsi="仿宋_GB2312" w:eastAsia="仿宋_GB2312" w:cs="仿宋_GB2312"/>
                <w:snapToGrid w:val="0"/>
                <w:color w:val="000000"/>
              </w:rPr>
            </w:pP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pacing w:line="240" w:lineRule="atLeast"/>
              <w:textAlignment w:val="center"/>
              <w:rPr>
                <w:rFonts w:ascii="仿宋_GB2312" w:hAnsi="仿宋_GB2312" w:eastAsia="仿宋_GB2312" w:cs="仿宋_GB2312"/>
              </w:rPr>
            </w:pPr>
            <w:r>
              <w:rPr>
                <w:rFonts w:ascii="仿宋_GB2312" w:hAnsi="仿宋_GB2312" w:eastAsia="仿宋_GB2312" w:cs="仿宋_GB2312"/>
              </w:rPr>
              <w:t>6.【法律】《中华人民共和国招标投标法》（1999年主席令第二十一号公布）</w:t>
            </w: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spacing w:line="240" w:lineRule="atLeast"/>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86</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宋体" w:hAnsi="宋体" w:cs="宋体"/>
                <w:sz w:val="21"/>
                <w:szCs w:val="21"/>
              </w:rPr>
              <w:t>房地产经纪机构备案</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宋体" w:hAnsi="宋体" w:cs="宋体"/>
                <w:sz w:val="21"/>
                <w:szCs w:val="21"/>
              </w:rPr>
              <w:t>【规章】《房地产经纪管理办法》（建设部、发改委、人社部令第8号）第十一条“房地产经纪机构及其分支机构应当自领取营业执照之日起30日内，当所在直辖市、市、县人民政府建设（房地产）主管部门备案。第十三条　房地产经纪机构及其分支机构变更或者终止的，应当自变更或者终止之日起30日内，办理备案变更或者注销手续。</w:t>
            </w: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1.【规章】《</w:t>
            </w:r>
            <w:r>
              <w:rPr>
                <w:rFonts w:hint="eastAsia" w:ascii="宋体" w:hAnsi="宋体" w:cs="宋体"/>
                <w:sz w:val="21"/>
                <w:szCs w:val="21"/>
              </w:rPr>
              <w:t>【规章】《房地产经纪管理办法》（建设部、发改委、人社部令第8号）第十一条“房地产经纪机构及其分支机构应当自领取营业执照之日起30日内，当所在直辖市、市、县人民政府建设（房地产）主管部门备案。</w:t>
            </w:r>
          </w:p>
          <w:p>
            <w:pPr>
              <w:rPr>
                <w:rFonts w:ascii="仿宋_GB2312" w:hAnsi="仿宋_GB2312" w:eastAsia="仿宋_GB2312" w:cs="仿宋_GB2312"/>
              </w:rPr>
            </w:pPr>
            <w:r>
              <w:rPr>
                <w:rFonts w:hint="eastAsia" w:ascii="仿宋_GB2312" w:hAnsi="仿宋_GB2312" w:eastAsia="仿宋_GB2312" w:cs="仿宋_GB2312"/>
              </w:rPr>
              <w:t>2.同1</w:t>
            </w:r>
          </w:p>
          <w:p>
            <w:pPr>
              <w:rPr>
                <w:rFonts w:ascii="仿宋_GB2312" w:hAnsi="仿宋_GB2312" w:eastAsia="仿宋_GB2312" w:cs="仿宋_GB2312"/>
              </w:rPr>
            </w:pPr>
            <w:r>
              <w:rPr>
                <w:rFonts w:hint="eastAsia" w:ascii="仿宋_GB2312" w:hAnsi="仿宋_GB2312" w:eastAsia="仿宋_GB2312" w:cs="仿宋_GB2312"/>
              </w:rPr>
              <w:t>3.同1</w:t>
            </w:r>
          </w:p>
          <w:p>
            <w:pPr>
              <w:rPr>
                <w:rFonts w:ascii="仿宋_GB2312" w:hAnsi="仿宋_GB2312" w:eastAsia="仿宋_GB2312" w:cs="仿宋_GB2312"/>
              </w:rPr>
            </w:pP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5.同1</w:t>
            </w:r>
          </w:p>
          <w:p>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color w:val="000000"/>
              </w:rPr>
            </w:pPr>
          </w:p>
        </w:tc>
      </w:tr>
    </w:tbl>
    <w:p/>
    <w:p/>
    <w:p/>
    <w:sectPr>
      <w:footerReference r:id="rId3" w:type="default"/>
      <w:pgSz w:w="23760" w:h="16781" w:orient="landscape"/>
      <w:pgMar w:top="1803" w:right="1440" w:bottom="1803"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26D6D"/>
    <w:multiLevelType w:val="singleLevel"/>
    <w:tmpl w:val="59126D6D"/>
    <w:lvl w:ilvl="0" w:tentative="0">
      <w:start w:val="1"/>
      <w:numFmt w:val="decimal"/>
      <w:suff w:val="nothing"/>
      <w:lvlText w:val="%1."/>
      <w:lvlJc w:val="left"/>
    </w:lvl>
  </w:abstractNum>
  <w:abstractNum w:abstractNumId="1">
    <w:nsid w:val="59127214"/>
    <w:multiLevelType w:val="singleLevel"/>
    <w:tmpl w:val="59127214"/>
    <w:lvl w:ilvl="0" w:tentative="0">
      <w:start w:val="1"/>
      <w:numFmt w:val="decimal"/>
      <w:suff w:val="nothing"/>
      <w:lvlText w:val="%1."/>
      <w:lvlJc w:val="left"/>
    </w:lvl>
  </w:abstractNum>
  <w:abstractNum w:abstractNumId="2">
    <w:nsid w:val="5912DB4C"/>
    <w:multiLevelType w:val="singleLevel"/>
    <w:tmpl w:val="5912DB4C"/>
    <w:lvl w:ilvl="0" w:tentative="0">
      <w:start w:val="1"/>
      <w:numFmt w:val="decimal"/>
      <w:suff w:val="nothing"/>
      <w:lvlText w:val="%1."/>
      <w:lvlJc w:val="left"/>
    </w:lvl>
  </w:abstractNum>
  <w:abstractNum w:abstractNumId="3">
    <w:nsid w:val="59143045"/>
    <w:multiLevelType w:val="singleLevel"/>
    <w:tmpl w:val="59143045"/>
    <w:lvl w:ilvl="0" w:tentative="0">
      <w:start w:val="1"/>
      <w:numFmt w:val="decimal"/>
      <w:suff w:val="nothing"/>
      <w:lvlText w:val="%1."/>
      <w:lvlJc w:val="left"/>
    </w:lvl>
  </w:abstractNum>
  <w:abstractNum w:abstractNumId="4">
    <w:nsid w:val="59277FE9"/>
    <w:multiLevelType w:val="singleLevel"/>
    <w:tmpl w:val="59277FE9"/>
    <w:lvl w:ilvl="0" w:tentative="0">
      <w:start w:val="1"/>
      <w:numFmt w:val="decimal"/>
      <w:suff w:val="nothing"/>
      <w:lvlText w:val="%1."/>
      <w:lvlJc w:val="left"/>
      <w:rPr>
        <w:rFonts w:cs="Times New Roman"/>
      </w:rPr>
    </w:lvl>
  </w:abstractNum>
  <w:abstractNum w:abstractNumId="5">
    <w:nsid w:val="5928332D"/>
    <w:multiLevelType w:val="singleLevel"/>
    <w:tmpl w:val="5928332D"/>
    <w:lvl w:ilvl="0" w:tentative="0">
      <w:start w:val="1"/>
      <w:numFmt w:val="decimal"/>
      <w:suff w:val="nothing"/>
      <w:lvlText w:val="%1."/>
      <w:lvlJc w:val="left"/>
    </w:lvl>
  </w:abstractNum>
  <w:abstractNum w:abstractNumId="6">
    <w:nsid w:val="59283900"/>
    <w:multiLevelType w:val="singleLevel"/>
    <w:tmpl w:val="59283900"/>
    <w:lvl w:ilvl="0" w:tentative="0">
      <w:start w:val="3"/>
      <w:numFmt w:val="decimal"/>
      <w:suff w:val="nothing"/>
      <w:lvlText w:val="%1."/>
      <w:lvlJc w:val="left"/>
    </w:lvl>
  </w:abstractNum>
  <w:abstractNum w:abstractNumId="7">
    <w:nsid w:val="5928DB7D"/>
    <w:multiLevelType w:val="singleLevel"/>
    <w:tmpl w:val="5928DB7D"/>
    <w:lvl w:ilvl="0" w:tentative="0">
      <w:start w:val="2"/>
      <w:numFmt w:val="decimal"/>
      <w:suff w:val="nothing"/>
      <w:lvlText w:val="%1."/>
      <w:lvlJc w:val="left"/>
    </w:lvl>
  </w:abstractNum>
  <w:abstractNum w:abstractNumId="8">
    <w:nsid w:val="5928E2E2"/>
    <w:multiLevelType w:val="singleLevel"/>
    <w:tmpl w:val="5928E2E2"/>
    <w:lvl w:ilvl="0" w:tentative="0">
      <w:start w:val="2"/>
      <w:numFmt w:val="decimal"/>
      <w:suff w:val="nothing"/>
      <w:lvlText w:val="%1."/>
      <w:lvlJc w:val="left"/>
    </w:lvl>
  </w:abstractNum>
  <w:abstractNum w:abstractNumId="9">
    <w:nsid w:val="5928EF85"/>
    <w:multiLevelType w:val="singleLevel"/>
    <w:tmpl w:val="5928EF85"/>
    <w:lvl w:ilvl="0" w:tentative="0">
      <w:start w:val="2"/>
      <w:numFmt w:val="decimal"/>
      <w:suff w:val="nothing"/>
      <w:lvlText w:val="%1."/>
      <w:lvlJc w:val="left"/>
    </w:lvl>
  </w:abstractNum>
  <w:abstractNum w:abstractNumId="10">
    <w:nsid w:val="5928F3C4"/>
    <w:multiLevelType w:val="singleLevel"/>
    <w:tmpl w:val="5928F3C4"/>
    <w:lvl w:ilvl="0" w:tentative="0">
      <w:start w:val="1"/>
      <w:numFmt w:val="decimal"/>
      <w:suff w:val="nothing"/>
      <w:lvlText w:val="%1."/>
      <w:lvlJc w:val="left"/>
    </w:lvl>
  </w:abstractNum>
  <w:abstractNum w:abstractNumId="11">
    <w:nsid w:val="5928F3D4"/>
    <w:multiLevelType w:val="singleLevel"/>
    <w:tmpl w:val="5928F3D4"/>
    <w:lvl w:ilvl="0" w:tentative="0">
      <w:start w:val="4"/>
      <w:numFmt w:val="decimal"/>
      <w:suff w:val="nothing"/>
      <w:lvlText w:val="%1."/>
      <w:lvlJc w:val="left"/>
    </w:lvl>
  </w:abstractNum>
  <w:abstractNum w:abstractNumId="12">
    <w:nsid w:val="59292E95"/>
    <w:multiLevelType w:val="singleLevel"/>
    <w:tmpl w:val="59292E95"/>
    <w:lvl w:ilvl="0" w:tentative="0">
      <w:start w:val="2"/>
      <w:numFmt w:val="decimal"/>
      <w:suff w:val="nothing"/>
      <w:lvlText w:val="%1."/>
      <w:lvlJc w:val="left"/>
    </w:lvl>
  </w:abstractNum>
  <w:abstractNum w:abstractNumId="13">
    <w:nsid w:val="5929368C"/>
    <w:multiLevelType w:val="singleLevel"/>
    <w:tmpl w:val="5929368C"/>
    <w:lvl w:ilvl="0" w:tentative="0">
      <w:start w:val="3"/>
      <w:numFmt w:val="decimal"/>
      <w:suff w:val="nothing"/>
      <w:lvlText w:val="%1."/>
      <w:lvlJc w:val="left"/>
    </w:lvl>
  </w:abstractNum>
  <w:abstractNum w:abstractNumId="14">
    <w:nsid w:val="59293C96"/>
    <w:multiLevelType w:val="singleLevel"/>
    <w:tmpl w:val="59293C96"/>
    <w:lvl w:ilvl="0" w:tentative="0">
      <w:start w:val="4"/>
      <w:numFmt w:val="decimal"/>
      <w:suff w:val="space"/>
      <w:lvlText w:val="%1."/>
      <w:lvlJc w:val="left"/>
    </w:lvl>
  </w:abstractNum>
  <w:abstractNum w:abstractNumId="15">
    <w:nsid w:val="59297A1C"/>
    <w:multiLevelType w:val="singleLevel"/>
    <w:tmpl w:val="59297A1C"/>
    <w:lvl w:ilvl="0" w:tentative="0">
      <w:start w:val="2"/>
      <w:numFmt w:val="decimal"/>
      <w:suff w:val="nothing"/>
      <w:lvlText w:val="%1."/>
      <w:lvlJc w:val="left"/>
    </w:lvl>
  </w:abstractNum>
  <w:abstractNum w:abstractNumId="16">
    <w:nsid w:val="59297CB6"/>
    <w:multiLevelType w:val="singleLevel"/>
    <w:tmpl w:val="59297CB6"/>
    <w:lvl w:ilvl="0" w:tentative="0">
      <w:start w:val="3"/>
      <w:numFmt w:val="decimal"/>
      <w:suff w:val="nothing"/>
      <w:lvlText w:val="%1."/>
      <w:lvlJc w:val="left"/>
    </w:lvl>
  </w:abstractNum>
  <w:abstractNum w:abstractNumId="17">
    <w:nsid w:val="5929823A"/>
    <w:multiLevelType w:val="singleLevel"/>
    <w:tmpl w:val="5929823A"/>
    <w:lvl w:ilvl="0" w:tentative="0">
      <w:start w:val="3"/>
      <w:numFmt w:val="decimal"/>
      <w:suff w:val="nothing"/>
      <w:lvlText w:val="%1."/>
      <w:lvlJc w:val="left"/>
    </w:lvl>
  </w:abstractNum>
  <w:abstractNum w:abstractNumId="18">
    <w:nsid w:val="592D3495"/>
    <w:multiLevelType w:val="singleLevel"/>
    <w:tmpl w:val="592D3495"/>
    <w:lvl w:ilvl="0" w:tentative="0">
      <w:start w:val="1"/>
      <w:numFmt w:val="decimal"/>
      <w:suff w:val="nothing"/>
      <w:lvlText w:val="%1."/>
      <w:lvlJc w:val="left"/>
    </w:lvl>
  </w:abstractNum>
  <w:abstractNum w:abstractNumId="19">
    <w:nsid w:val="592D3D25"/>
    <w:multiLevelType w:val="singleLevel"/>
    <w:tmpl w:val="592D3D25"/>
    <w:lvl w:ilvl="0" w:tentative="0">
      <w:start w:val="1"/>
      <w:numFmt w:val="decimal"/>
      <w:suff w:val="nothing"/>
      <w:lvlText w:val="%1."/>
      <w:lvlJc w:val="left"/>
    </w:lvl>
  </w:abstractNum>
  <w:abstractNum w:abstractNumId="20">
    <w:nsid w:val="592D3E35"/>
    <w:multiLevelType w:val="singleLevel"/>
    <w:tmpl w:val="592D3E35"/>
    <w:lvl w:ilvl="0" w:tentative="0">
      <w:start w:val="1"/>
      <w:numFmt w:val="decimal"/>
      <w:suff w:val="nothing"/>
      <w:lvlText w:val="%1."/>
      <w:lvlJc w:val="left"/>
    </w:lvl>
  </w:abstractNum>
  <w:abstractNum w:abstractNumId="21">
    <w:nsid w:val="592D3EFD"/>
    <w:multiLevelType w:val="singleLevel"/>
    <w:tmpl w:val="592D3EFD"/>
    <w:lvl w:ilvl="0" w:tentative="0">
      <w:start w:val="1"/>
      <w:numFmt w:val="decimal"/>
      <w:suff w:val="nothing"/>
      <w:lvlText w:val="%1."/>
      <w:lvlJc w:val="left"/>
    </w:lvl>
  </w:abstractNum>
  <w:abstractNum w:abstractNumId="22">
    <w:nsid w:val="592D8CEA"/>
    <w:multiLevelType w:val="singleLevel"/>
    <w:tmpl w:val="592D8CEA"/>
    <w:lvl w:ilvl="0" w:tentative="0">
      <w:start w:val="2"/>
      <w:numFmt w:val="decimal"/>
      <w:suff w:val="nothing"/>
      <w:lvlText w:val="%1."/>
      <w:lvlJc w:val="left"/>
    </w:lvl>
  </w:abstractNum>
  <w:abstractNum w:abstractNumId="23">
    <w:nsid w:val="592E3763"/>
    <w:multiLevelType w:val="singleLevel"/>
    <w:tmpl w:val="592E3763"/>
    <w:lvl w:ilvl="0" w:tentative="0">
      <w:start w:val="1"/>
      <w:numFmt w:val="decimal"/>
      <w:suff w:val="nothing"/>
      <w:lvlText w:val="%1."/>
      <w:lvlJc w:val="left"/>
    </w:lvl>
  </w:abstractNum>
  <w:abstractNum w:abstractNumId="24">
    <w:nsid w:val="5A25138B"/>
    <w:multiLevelType w:val="singleLevel"/>
    <w:tmpl w:val="5A25138B"/>
    <w:lvl w:ilvl="0" w:tentative="0">
      <w:start w:val="1"/>
      <w:numFmt w:val="decimal"/>
      <w:lvlText w:val="%1."/>
      <w:lvlJc w:val="left"/>
      <w:pPr>
        <w:tabs>
          <w:tab w:val="left" w:pos="312"/>
        </w:tabs>
      </w:pPr>
    </w:lvl>
  </w:abstractNum>
  <w:num w:numId="1">
    <w:abstractNumId w:val="6"/>
  </w:num>
  <w:num w:numId="2">
    <w:abstractNumId w:val="14"/>
  </w:num>
  <w:num w:numId="3">
    <w:abstractNumId w:val="7"/>
  </w:num>
  <w:num w:numId="4">
    <w:abstractNumId w:val="8"/>
  </w:num>
  <w:num w:numId="5">
    <w:abstractNumId w:val="13"/>
  </w:num>
  <w:num w:numId="6">
    <w:abstractNumId w:val="12"/>
  </w:num>
  <w:num w:numId="7">
    <w:abstractNumId w:val="9"/>
  </w:num>
  <w:num w:numId="8">
    <w:abstractNumId w:val="24"/>
  </w:num>
  <w:num w:numId="9">
    <w:abstractNumId w:val="2"/>
  </w:num>
  <w:num w:numId="10">
    <w:abstractNumId w:val="18"/>
  </w:num>
  <w:num w:numId="11">
    <w:abstractNumId w:val="5"/>
  </w:num>
  <w:num w:numId="12">
    <w:abstractNumId w:val="19"/>
  </w:num>
  <w:num w:numId="13">
    <w:abstractNumId w:val="20"/>
  </w:num>
  <w:num w:numId="14">
    <w:abstractNumId w:val="21"/>
  </w:num>
  <w:num w:numId="15">
    <w:abstractNumId w:val="15"/>
  </w:num>
  <w:num w:numId="16">
    <w:abstractNumId w:val="3"/>
  </w:num>
  <w:num w:numId="17">
    <w:abstractNumId w:val="10"/>
  </w:num>
  <w:num w:numId="18">
    <w:abstractNumId w:val="11"/>
  </w:num>
  <w:num w:numId="19">
    <w:abstractNumId w:val="16"/>
  </w:num>
  <w:num w:numId="20">
    <w:abstractNumId w:val="1"/>
  </w:num>
  <w:num w:numId="21">
    <w:abstractNumId w:val="22"/>
  </w:num>
  <w:num w:numId="22">
    <w:abstractNumId w:val="17"/>
  </w:num>
  <w:num w:numId="23">
    <w:abstractNumId w:val="4"/>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35D"/>
    <w:rsid w:val="0001052B"/>
    <w:rsid w:val="00011A3F"/>
    <w:rsid w:val="00035CC4"/>
    <w:rsid w:val="00036E85"/>
    <w:rsid w:val="00041B91"/>
    <w:rsid w:val="00045FC8"/>
    <w:rsid w:val="00054121"/>
    <w:rsid w:val="0005478D"/>
    <w:rsid w:val="000547F3"/>
    <w:rsid w:val="00062C08"/>
    <w:rsid w:val="000633BB"/>
    <w:rsid w:val="00063407"/>
    <w:rsid w:val="00080128"/>
    <w:rsid w:val="000A2851"/>
    <w:rsid w:val="000A5536"/>
    <w:rsid w:val="000C01F7"/>
    <w:rsid w:val="000C212C"/>
    <w:rsid w:val="000C3FF8"/>
    <w:rsid w:val="000C5776"/>
    <w:rsid w:val="000C751D"/>
    <w:rsid w:val="000E10D2"/>
    <w:rsid w:val="000E4957"/>
    <w:rsid w:val="000E6220"/>
    <w:rsid w:val="000F18F6"/>
    <w:rsid w:val="000F67CB"/>
    <w:rsid w:val="00110969"/>
    <w:rsid w:val="001113DD"/>
    <w:rsid w:val="0013177F"/>
    <w:rsid w:val="00135344"/>
    <w:rsid w:val="00135EB1"/>
    <w:rsid w:val="001434BF"/>
    <w:rsid w:val="00143C49"/>
    <w:rsid w:val="00146BFD"/>
    <w:rsid w:val="00155CEB"/>
    <w:rsid w:val="00164477"/>
    <w:rsid w:val="00167833"/>
    <w:rsid w:val="001841F4"/>
    <w:rsid w:val="00193E44"/>
    <w:rsid w:val="00194FE7"/>
    <w:rsid w:val="001977C6"/>
    <w:rsid w:val="001979A2"/>
    <w:rsid w:val="001A171B"/>
    <w:rsid w:val="001A6D4F"/>
    <w:rsid w:val="001B5C84"/>
    <w:rsid w:val="001C3141"/>
    <w:rsid w:val="001D23AB"/>
    <w:rsid w:val="001F0A8D"/>
    <w:rsid w:val="001F0D4A"/>
    <w:rsid w:val="001F1498"/>
    <w:rsid w:val="00203A2A"/>
    <w:rsid w:val="00206F02"/>
    <w:rsid w:val="0021046A"/>
    <w:rsid w:val="00211B36"/>
    <w:rsid w:val="00217CF0"/>
    <w:rsid w:val="002211BE"/>
    <w:rsid w:val="00235B35"/>
    <w:rsid w:val="00246C15"/>
    <w:rsid w:val="002503CF"/>
    <w:rsid w:val="0025127E"/>
    <w:rsid w:val="002570B1"/>
    <w:rsid w:val="002576C2"/>
    <w:rsid w:val="00261061"/>
    <w:rsid w:val="00266DF5"/>
    <w:rsid w:val="002672D7"/>
    <w:rsid w:val="00267D37"/>
    <w:rsid w:val="002707CE"/>
    <w:rsid w:val="00270A16"/>
    <w:rsid w:val="002809B5"/>
    <w:rsid w:val="00283289"/>
    <w:rsid w:val="0028449D"/>
    <w:rsid w:val="00285190"/>
    <w:rsid w:val="00287C95"/>
    <w:rsid w:val="00296C80"/>
    <w:rsid w:val="002A09F9"/>
    <w:rsid w:val="002A364F"/>
    <w:rsid w:val="002C689A"/>
    <w:rsid w:val="002D041A"/>
    <w:rsid w:val="002D0C20"/>
    <w:rsid w:val="002E0020"/>
    <w:rsid w:val="002F0213"/>
    <w:rsid w:val="002F49AF"/>
    <w:rsid w:val="003045DE"/>
    <w:rsid w:val="00305726"/>
    <w:rsid w:val="003119BE"/>
    <w:rsid w:val="0031502D"/>
    <w:rsid w:val="00316383"/>
    <w:rsid w:val="0031759A"/>
    <w:rsid w:val="00323BAA"/>
    <w:rsid w:val="00344F73"/>
    <w:rsid w:val="00345DD2"/>
    <w:rsid w:val="00353724"/>
    <w:rsid w:val="00353DA9"/>
    <w:rsid w:val="00356929"/>
    <w:rsid w:val="00357BE6"/>
    <w:rsid w:val="0037455E"/>
    <w:rsid w:val="00375004"/>
    <w:rsid w:val="00376506"/>
    <w:rsid w:val="003813DF"/>
    <w:rsid w:val="00395791"/>
    <w:rsid w:val="00396D15"/>
    <w:rsid w:val="003A1691"/>
    <w:rsid w:val="003A26DF"/>
    <w:rsid w:val="003A5931"/>
    <w:rsid w:val="003A60AC"/>
    <w:rsid w:val="003B2C84"/>
    <w:rsid w:val="003D5FBE"/>
    <w:rsid w:val="003E34FD"/>
    <w:rsid w:val="003F057B"/>
    <w:rsid w:val="003F08BA"/>
    <w:rsid w:val="003F1A3A"/>
    <w:rsid w:val="003F6155"/>
    <w:rsid w:val="003F75E3"/>
    <w:rsid w:val="00423E8E"/>
    <w:rsid w:val="004242C0"/>
    <w:rsid w:val="00431B1A"/>
    <w:rsid w:val="00434746"/>
    <w:rsid w:val="004378A0"/>
    <w:rsid w:val="0044388B"/>
    <w:rsid w:val="00443C04"/>
    <w:rsid w:val="00456B44"/>
    <w:rsid w:val="00457A7D"/>
    <w:rsid w:val="00464D8A"/>
    <w:rsid w:val="00475C57"/>
    <w:rsid w:val="00476E61"/>
    <w:rsid w:val="00481902"/>
    <w:rsid w:val="00482114"/>
    <w:rsid w:val="00482339"/>
    <w:rsid w:val="00483F89"/>
    <w:rsid w:val="004944BE"/>
    <w:rsid w:val="004C0C2C"/>
    <w:rsid w:val="004C5E3B"/>
    <w:rsid w:val="004C7B36"/>
    <w:rsid w:val="004D6AAA"/>
    <w:rsid w:val="004E2E2A"/>
    <w:rsid w:val="004E45EB"/>
    <w:rsid w:val="004F2C17"/>
    <w:rsid w:val="00506B89"/>
    <w:rsid w:val="005109EF"/>
    <w:rsid w:val="00517779"/>
    <w:rsid w:val="00524604"/>
    <w:rsid w:val="00526DCF"/>
    <w:rsid w:val="00532DF2"/>
    <w:rsid w:val="00533E46"/>
    <w:rsid w:val="00535B7B"/>
    <w:rsid w:val="0054031E"/>
    <w:rsid w:val="00542395"/>
    <w:rsid w:val="005449A9"/>
    <w:rsid w:val="00567046"/>
    <w:rsid w:val="00567255"/>
    <w:rsid w:val="005704BD"/>
    <w:rsid w:val="00576655"/>
    <w:rsid w:val="00587DE9"/>
    <w:rsid w:val="00594F9E"/>
    <w:rsid w:val="005A421B"/>
    <w:rsid w:val="005C13DC"/>
    <w:rsid w:val="005E26C1"/>
    <w:rsid w:val="005F4C3F"/>
    <w:rsid w:val="005F756B"/>
    <w:rsid w:val="0060000D"/>
    <w:rsid w:val="00604371"/>
    <w:rsid w:val="00604B9E"/>
    <w:rsid w:val="00606383"/>
    <w:rsid w:val="00611477"/>
    <w:rsid w:val="006201F5"/>
    <w:rsid w:val="006205B2"/>
    <w:rsid w:val="00633B84"/>
    <w:rsid w:val="00635C4A"/>
    <w:rsid w:val="00637273"/>
    <w:rsid w:val="00642996"/>
    <w:rsid w:val="00646F0F"/>
    <w:rsid w:val="00647B07"/>
    <w:rsid w:val="006657D2"/>
    <w:rsid w:val="00675C36"/>
    <w:rsid w:val="006A67C3"/>
    <w:rsid w:val="006B0352"/>
    <w:rsid w:val="006B3DCC"/>
    <w:rsid w:val="006B7143"/>
    <w:rsid w:val="006B7F00"/>
    <w:rsid w:val="006C3CBA"/>
    <w:rsid w:val="006C5A31"/>
    <w:rsid w:val="006C659E"/>
    <w:rsid w:val="006C7D83"/>
    <w:rsid w:val="006D16D4"/>
    <w:rsid w:val="006D257D"/>
    <w:rsid w:val="006D41A2"/>
    <w:rsid w:val="006D7864"/>
    <w:rsid w:val="006D7A92"/>
    <w:rsid w:val="006E3078"/>
    <w:rsid w:val="006F5140"/>
    <w:rsid w:val="00701745"/>
    <w:rsid w:val="00727AE9"/>
    <w:rsid w:val="00731EC5"/>
    <w:rsid w:val="007343DA"/>
    <w:rsid w:val="007353E5"/>
    <w:rsid w:val="00737FB0"/>
    <w:rsid w:val="007400A6"/>
    <w:rsid w:val="007462B0"/>
    <w:rsid w:val="00746744"/>
    <w:rsid w:val="00747540"/>
    <w:rsid w:val="007512CF"/>
    <w:rsid w:val="0075320C"/>
    <w:rsid w:val="00753EF6"/>
    <w:rsid w:val="007760D3"/>
    <w:rsid w:val="007A1796"/>
    <w:rsid w:val="007A7C56"/>
    <w:rsid w:val="007B0BA6"/>
    <w:rsid w:val="007B1167"/>
    <w:rsid w:val="007B3C0F"/>
    <w:rsid w:val="007B655D"/>
    <w:rsid w:val="007C52F4"/>
    <w:rsid w:val="007D1177"/>
    <w:rsid w:val="007D2DE9"/>
    <w:rsid w:val="007D77ED"/>
    <w:rsid w:val="007D784D"/>
    <w:rsid w:val="007E1208"/>
    <w:rsid w:val="007E6156"/>
    <w:rsid w:val="007E7512"/>
    <w:rsid w:val="007F4EA8"/>
    <w:rsid w:val="007F6DF6"/>
    <w:rsid w:val="00805185"/>
    <w:rsid w:val="00806DB9"/>
    <w:rsid w:val="0081087F"/>
    <w:rsid w:val="00814BDD"/>
    <w:rsid w:val="00820D7B"/>
    <w:rsid w:val="0082595D"/>
    <w:rsid w:val="00826A63"/>
    <w:rsid w:val="00833E69"/>
    <w:rsid w:val="00834CED"/>
    <w:rsid w:val="00847B53"/>
    <w:rsid w:val="00862A0F"/>
    <w:rsid w:val="00862C54"/>
    <w:rsid w:val="008733D3"/>
    <w:rsid w:val="0089268D"/>
    <w:rsid w:val="00893E06"/>
    <w:rsid w:val="00894380"/>
    <w:rsid w:val="008A15EA"/>
    <w:rsid w:val="008A3D55"/>
    <w:rsid w:val="008A44DB"/>
    <w:rsid w:val="008B2539"/>
    <w:rsid w:val="008B625F"/>
    <w:rsid w:val="008B7EBB"/>
    <w:rsid w:val="008C0AE5"/>
    <w:rsid w:val="008D2F22"/>
    <w:rsid w:val="008E4572"/>
    <w:rsid w:val="008E5086"/>
    <w:rsid w:val="008E5FAF"/>
    <w:rsid w:val="008E6596"/>
    <w:rsid w:val="008F0127"/>
    <w:rsid w:val="00906039"/>
    <w:rsid w:val="0090748C"/>
    <w:rsid w:val="00921923"/>
    <w:rsid w:val="0092240B"/>
    <w:rsid w:val="009247B7"/>
    <w:rsid w:val="00925DE0"/>
    <w:rsid w:val="009272FE"/>
    <w:rsid w:val="00933077"/>
    <w:rsid w:val="00936E0E"/>
    <w:rsid w:val="00942645"/>
    <w:rsid w:val="0094353D"/>
    <w:rsid w:val="00943FCA"/>
    <w:rsid w:val="009448ED"/>
    <w:rsid w:val="0095024E"/>
    <w:rsid w:val="009515CC"/>
    <w:rsid w:val="00953DD8"/>
    <w:rsid w:val="00964766"/>
    <w:rsid w:val="009733E6"/>
    <w:rsid w:val="00975D64"/>
    <w:rsid w:val="009804A9"/>
    <w:rsid w:val="00985F50"/>
    <w:rsid w:val="00995335"/>
    <w:rsid w:val="00996ECA"/>
    <w:rsid w:val="00996ECF"/>
    <w:rsid w:val="009D2E25"/>
    <w:rsid w:val="009F6809"/>
    <w:rsid w:val="009F7ED0"/>
    <w:rsid w:val="00A076D6"/>
    <w:rsid w:val="00A2712A"/>
    <w:rsid w:val="00A300DD"/>
    <w:rsid w:val="00A30524"/>
    <w:rsid w:val="00A37B61"/>
    <w:rsid w:val="00A402EF"/>
    <w:rsid w:val="00A5461B"/>
    <w:rsid w:val="00A576BA"/>
    <w:rsid w:val="00A60394"/>
    <w:rsid w:val="00A60ACB"/>
    <w:rsid w:val="00A67EAD"/>
    <w:rsid w:val="00A70C7A"/>
    <w:rsid w:val="00A732A2"/>
    <w:rsid w:val="00A736C6"/>
    <w:rsid w:val="00A83360"/>
    <w:rsid w:val="00A925A6"/>
    <w:rsid w:val="00A92A9C"/>
    <w:rsid w:val="00AA051B"/>
    <w:rsid w:val="00AA13EE"/>
    <w:rsid w:val="00AB1CA0"/>
    <w:rsid w:val="00AC3247"/>
    <w:rsid w:val="00AD012C"/>
    <w:rsid w:val="00AD3AB9"/>
    <w:rsid w:val="00AD41D2"/>
    <w:rsid w:val="00AE70F2"/>
    <w:rsid w:val="00AF0991"/>
    <w:rsid w:val="00AF0E39"/>
    <w:rsid w:val="00AF6C4F"/>
    <w:rsid w:val="00B041B1"/>
    <w:rsid w:val="00B16D47"/>
    <w:rsid w:val="00B2170E"/>
    <w:rsid w:val="00B25E2B"/>
    <w:rsid w:val="00B3384C"/>
    <w:rsid w:val="00B33A23"/>
    <w:rsid w:val="00B453B6"/>
    <w:rsid w:val="00B45FC1"/>
    <w:rsid w:val="00B4665C"/>
    <w:rsid w:val="00B46AE6"/>
    <w:rsid w:val="00B52867"/>
    <w:rsid w:val="00B53103"/>
    <w:rsid w:val="00B54552"/>
    <w:rsid w:val="00B5760F"/>
    <w:rsid w:val="00B80400"/>
    <w:rsid w:val="00B86A4A"/>
    <w:rsid w:val="00B9502C"/>
    <w:rsid w:val="00B97904"/>
    <w:rsid w:val="00BA39D5"/>
    <w:rsid w:val="00BC41F0"/>
    <w:rsid w:val="00BD1DCF"/>
    <w:rsid w:val="00BD2669"/>
    <w:rsid w:val="00BD2BA3"/>
    <w:rsid w:val="00BD3E27"/>
    <w:rsid w:val="00BD4F10"/>
    <w:rsid w:val="00BE0E1A"/>
    <w:rsid w:val="00C16CAD"/>
    <w:rsid w:val="00C17354"/>
    <w:rsid w:val="00C17C7A"/>
    <w:rsid w:val="00C22B2B"/>
    <w:rsid w:val="00C22B7A"/>
    <w:rsid w:val="00C2450B"/>
    <w:rsid w:val="00C326D1"/>
    <w:rsid w:val="00C34E6A"/>
    <w:rsid w:val="00C56AAE"/>
    <w:rsid w:val="00C850A2"/>
    <w:rsid w:val="00C85393"/>
    <w:rsid w:val="00C92691"/>
    <w:rsid w:val="00C96B69"/>
    <w:rsid w:val="00CB2861"/>
    <w:rsid w:val="00CB3C24"/>
    <w:rsid w:val="00CC021C"/>
    <w:rsid w:val="00CC0F6A"/>
    <w:rsid w:val="00CD3A8D"/>
    <w:rsid w:val="00CD3F73"/>
    <w:rsid w:val="00CD5D5B"/>
    <w:rsid w:val="00CE4B1D"/>
    <w:rsid w:val="00D00932"/>
    <w:rsid w:val="00D02C3C"/>
    <w:rsid w:val="00D076EC"/>
    <w:rsid w:val="00D11B08"/>
    <w:rsid w:val="00D154BD"/>
    <w:rsid w:val="00D172B5"/>
    <w:rsid w:val="00D21795"/>
    <w:rsid w:val="00D23654"/>
    <w:rsid w:val="00D24307"/>
    <w:rsid w:val="00D40574"/>
    <w:rsid w:val="00D50EA4"/>
    <w:rsid w:val="00D51871"/>
    <w:rsid w:val="00D666FB"/>
    <w:rsid w:val="00D730E2"/>
    <w:rsid w:val="00D76C49"/>
    <w:rsid w:val="00D814D2"/>
    <w:rsid w:val="00D82DDE"/>
    <w:rsid w:val="00D86F91"/>
    <w:rsid w:val="00D870E9"/>
    <w:rsid w:val="00D941B7"/>
    <w:rsid w:val="00D95B12"/>
    <w:rsid w:val="00DA0AE4"/>
    <w:rsid w:val="00DA735D"/>
    <w:rsid w:val="00DB02ED"/>
    <w:rsid w:val="00DB1E42"/>
    <w:rsid w:val="00DB5085"/>
    <w:rsid w:val="00DC1EDC"/>
    <w:rsid w:val="00DC7DCC"/>
    <w:rsid w:val="00DD1A79"/>
    <w:rsid w:val="00DE2E96"/>
    <w:rsid w:val="00DF1EFA"/>
    <w:rsid w:val="00DF2E39"/>
    <w:rsid w:val="00DF53D6"/>
    <w:rsid w:val="00E11AC4"/>
    <w:rsid w:val="00E159CD"/>
    <w:rsid w:val="00E17B3D"/>
    <w:rsid w:val="00E375F5"/>
    <w:rsid w:val="00E37BFF"/>
    <w:rsid w:val="00E50FE8"/>
    <w:rsid w:val="00E67186"/>
    <w:rsid w:val="00E75C18"/>
    <w:rsid w:val="00E80453"/>
    <w:rsid w:val="00E85B26"/>
    <w:rsid w:val="00E86B2C"/>
    <w:rsid w:val="00EA1777"/>
    <w:rsid w:val="00EB10EF"/>
    <w:rsid w:val="00EB6EAA"/>
    <w:rsid w:val="00ED009A"/>
    <w:rsid w:val="00EE72C9"/>
    <w:rsid w:val="00EF0706"/>
    <w:rsid w:val="00EF2AA9"/>
    <w:rsid w:val="00EF34AB"/>
    <w:rsid w:val="00F014F2"/>
    <w:rsid w:val="00F02A99"/>
    <w:rsid w:val="00F04AE2"/>
    <w:rsid w:val="00F07278"/>
    <w:rsid w:val="00F10C98"/>
    <w:rsid w:val="00F25BC2"/>
    <w:rsid w:val="00F30F93"/>
    <w:rsid w:val="00F45D1E"/>
    <w:rsid w:val="00F50FF6"/>
    <w:rsid w:val="00F51A55"/>
    <w:rsid w:val="00F542E2"/>
    <w:rsid w:val="00F556DB"/>
    <w:rsid w:val="00F62866"/>
    <w:rsid w:val="00F62BD8"/>
    <w:rsid w:val="00F66FBA"/>
    <w:rsid w:val="00F702B3"/>
    <w:rsid w:val="00F778D0"/>
    <w:rsid w:val="00F933AF"/>
    <w:rsid w:val="00F937D6"/>
    <w:rsid w:val="00FA1422"/>
    <w:rsid w:val="00FB1361"/>
    <w:rsid w:val="00FB6296"/>
    <w:rsid w:val="00FC144F"/>
    <w:rsid w:val="00FC545C"/>
    <w:rsid w:val="00FC5ABF"/>
    <w:rsid w:val="00FD0543"/>
    <w:rsid w:val="00FD1642"/>
    <w:rsid w:val="00FD47CD"/>
    <w:rsid w:val="00FD51B3"/>
    <w:rsid w:val="00FD684B"/>
    <w:rsid w:val="00FF4354"/>
    <w:rsid w:val="01CB2B0D"/>
    <w:rsid w:val="022074EE"/>
    <w:rsid w:val="023774A4"/>
    <w:rsid w:val="02D71F8B"/>
    <w:rsid w:val="031A0EAF"/>
    <w:rsid w:val="047E0BA0"/>
    <w:rsid w:val="05AC270B"/>
    <w:rsid w:val="05B777A3"/>
    <w:rsid w:val="068259B7"/>
    <w:rsid w:val="072C3EDE"/>
    <w:rsid w:val="072E1580"/>
    <w:rsid w:val="07430675"/>
    <w:rsid w:val="07E543E7"/>
    <w:rsid w:val="084904F6"/>
    <w:rsid w:val="08FB08E8"/>
    <w:rsid w:val="09211235"/>
    <w:rsid w:val="09907644"/>
    <w:rsid w:val="0AE969E1"/>
    <w:rsid w:val="0AFE51AC"/>
    <w:rsid w:val="0B6C62F2"/>
    <w:rsid w:val="0BB10821"/>
    <w:rsid w:val="0C0C3552"/>
    <w:rsid w:val="0C18493F"/>
    <w:rsid w:val="0C552DC5"/>
    <w:rsid w:val="0D22314C"/>
    <w:rsid w:val="0E57090A"/>
    <w:rsid w:val="0ED774B5"/>
    <w:rsid w:val="100C41CE"/>
    <w:rsid w:val="10317FE1"/>
    <w:rsid w:val="105B5629"/>
    <w:rsid w:val="108031C0"/>
    <w:rsid w:val="10936D19"/>
    <w:rsid w:val="119F7437"/>
    <w:rsid w:val="11EC3299"/>
    <w:rsid w:val="12152DD4"/>
    <w:rsid w:val="141B7A6A"/>
    <w:rsid w:val="15895CC7"/>
    <w:rsid w:val="16B128A7"/>
    <w:rsid w:val="16C467D4"/>
    <w:rsid w:val="16CB127D"/>
    <w:rsid w:val="17464E32"/>
    <w:rsid w:val="17BF1072"/>
    <w:rsid w:val="1870750D"/>
    <w:rsid w:val="19A6108A"/>
    <w:rsid w:val="1A2F73F8"/>
    <w:rsid w:val="1A392F4F"/>
    <w:rsid w:val="1A5551C0"/>
    <w:rsid w:val="1B4F74BF"/>
    <w:rsid w:val="1B65100C"/>
    <w:rsid w:val="1CFA144E"/>
    <w:rsid w:val="1D152682"/>
    <w:rsid w:val="1D240CFA"/>
    <w:rsid w:val="1E7D16C5"/>
    <w:rsid w:val="1F5E06CF"/>
    <w:rsid w:val="208445B3"/>
    <w:rsid w:val="212F3D05"/>
    <w:rsid w:val="21313842"/>
    <w:rsid w:val="22A41717"/>
    <w:rsid w:val="2417698F"/>
    <w:rsid w:val="268963D0"/>
    <w:rsid w:val="269C6EAF"/>
    <w:rsid w:val="273F611B"/>
    <w:rsid w:val="288853C9"/>
    <w:rsid w:val="2B9560BE"/>
    <w:rsid w:val="2B9A4D85"/>
    <w:rsid w:val="2D1C7A83"/>
    <w:rsid w:val="2D383096"/>
    <w:rsid w:val="2E3303F9"/>
    <w:rsid w:val="2E531B21"/>
    <w:rsid w:val="2E662C0E"/>
    <w:rsid w:val="2EB31526"/>
    <w:rsid w:val="2F963035"/>
    <w:rsid w:val="305C21D8"/>
    <w:rsid w:val="3166437C"/>
    <w:rsid w:val="331834FD"/>
    <w:rsid w:val="337028AD"/>
    <w:rsid w:val="357F068D"/>
    <w:rsid w:val="361669B5"/>
    <w:rsid w:val="36353221"/>
    <w:rsid w:val="363E0FBB"/>
    <w:rsid w:val="36747410"/>
    <w:rsid w:val="376D2060"/>
    <w:rsid w:val="385F7CDC"/>
    <w:rsid w:val="38B41E88"/>
    <w:rsid w:val="38CC38AC"/>
    <w:rsid w:val="39DB031E"/>
    <w:rsid w:val="3A554DF1"/>
    <w:rsid w:val="3A991187"/>
    <w:rsid w:val="3B194AFC"/>
    <w:rsid w:val="3B9E3CF4"/>
    <w:rsid w:val="3D6911B8"/>
    <w:rsid w:val="403E574E"/>
    <w:rsid w:val="405F4BD5"/>
    <w:rsid w:val="40B65AD1"/>
    <w:rsid w:val="41A874C8"/>
    <w:rsid w:val="41B62EBB"/>
    <w:rsid w:val="4268365C"/>
    <w:rsid w:val="43595D9F"/>
    <w:rsid w:val="43D776C2"/>
    <w:rsid w:val="4562732A"/>
    <w:rsid w:val="45D30C35"/>
    <w:rsid w:val="46742BDC"/>
    <w:rsid w:val="468E2226"/>
    <w:rsid w:val="47025D9A"/>
    <w:rsid w:val="4726354F"/>
    <w:rsid w:val="478722AB"/>
    <w:rsid w:val="491C6699"/>
    <w:rsid w:val="491F41C3"/>
    <w:rsid w:val="4A0E61E8"/>
    <w:rsid w:val="4B127D0A"/>
    <w:rsid w:val="4B40746C"/>
    <w:rsid w:val="4B552DE2"/>
    <w:rsid w:val="4B652237"/>
    <w:rsid w:val="4BA073F4"/>
    <w:rsid w:val="4D3F3986"/>
    <w:rsid w:val="4E8A2B59"/>
    <w:rsid w:val="4FA255A2"/>
    <w:rsid w:val="4FFE379B"/>
    <w:rsid w:val="50766BD9"/>
    <w:rsid w:val="50B22900"/>
    <w:rsid w:val="51231AF0"/>
    <w:rsid w:val="51506512"/>
    <w:rsid w:val="5231768A"/>
    <w:rsid w:val="52A01250"/>
    <w:rsid w:val="52C6080D"/>
    <w:rsid w:val="540D7CD2"/>
    <w:rsid w:val="55B45324"/>
    <w:rsid w:val="56E56FF5"/>
    <w:rsid w:val="5897748A"/>
    <w:rsid w:val="59103CCB"/>
    <w:rsid w:val="59742AB1"/>
    <w:rsid w:val="5B4C5F72"/>
    <w:rsid w:val="5B650F1D"/>
    <w:rsid w:val="5BC314BD"/>
    <w:rsid w:val="5C060D67"/>
    <w:rsid w:val="5DC5211F"/>
    <w:rsid w:val="5E05082D"/>
    <w:rsid w:val="5E80063C"/>
    <w:rsid w:val="5FC873B7"/>
    <w:rsid w:val="601E15AD"/>
    <w:rsid w:val="60C44FE7"/>
    <w:rsid w:val="613531BA"/>
    <w:rsid w:val="61E764E0"/>
    <w:rsid w:val="62E73D86"/>
    <w:rsid w:val="63CC1A68"/>
    <w:rsid w:val="648C0809"/>
    <w:rsid w:val="64F84A8A"/>
    <w:rsid w:val="65003527"/>
    <w:rsid w:val="65062EEB"/>
    <w:rsid w:val="66133E65"/>
    <w:rsid w:val="661A662E"/>
    <w:rsid w:val="67747A81"/>
    <w:rsid w:val="677F2B21"/>
    <w:rsid w:val="67980758"/>
    <w:rsid w:val="69533EB8"/>
    <w:rsid w:val="69607157"/>
    <w:rsid w:val="6A67687E"/>
    <w:rsid w:val="6B143732"/>
    <w:rsid w:val="6B287587"/>
    <w:rsid w:val="6CF4393A"/>
    <w:rsid w:val="6DF863BA"/>
    <w:rsid w:val="6E021ED9"/>
    <w:rsid w:val="6ECA7CCE"/>
    <w:rsid w:val="6FC56A46"/>
    <w:rsid w:val="7228574C"/>
    <w:rsid w:val="737151A4"/>
    <w:rsid w:val="73A517DE"/>
    <w:rsid w:val="743D3A3E"/>
    <w:rsid w:val="74BA0319"/>
    <w:rsid w:val="74CF6651"/>
    <w:rsid w:val="74F5390F"/>
    <w:rsid w:val="76292175"/>
    <w:rsid w:val="77C25D2B"/>
    <w:rsid w:val="78050375"/>
    <w:rsid w:val="78D768A7"/>
    <w:rsid w:val="78E82668"/>
    <w:rsid w:val="79190667"/>
    <w:rsid w:val="79495D34"/>
    <w:rsid w:val="7A5E45FC"/>
    <w:rsid w:val="7ACC7BE1"/>
    <w:rsid w:val="7BB34B5F"/>
    <w:rsid w:val="7C0D57C7"/>
    <w:rsid w:val="7CA83284"/>
    <w:rsid w:val="7CC171E2"/>
    <w:rsid w:val="7CD54313"/>
    <w:rsid w:val="7D2504C0"/>
    <w:rsid w:val="7D7517D2"/>
    <w:rsid w:val="7DB52B38"/>
    <w:rsid w:val="7DD33AF8"/>
    <w:rsid w:val="7EDC563A"/>
    <w:rsid w:val="FF2A48C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11"/>
    <w:qFormat/>
    <w:uiPriority w:val="99"/>
    <w:pPr>
      <w:spacing w:before="100" w:beforeAutospacing="1" w:after="100" w:afterAutospacing="1"/>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8">
    <w:name w:val="Strong"/>
    <w:basedOn w:val="7"/>
    <w:qFormat/>
    <w:locked/>
    <w:uiPriority w:val="0"/>
    <w:rPr>
      <w:b/>
    </w:rPr>
  </w:style>
  <w:style w:type="character" w:styleId="9">
    <w:name w:val="FollowedHyperlink"/>
    <w:basedOn w:val="7"/>
    <w:unhideWhenUsed/>
    <w:qFormat/>
    <w:uiPriority w:val="99"/>
    <w:rPr>
      <w:rFonts w:hint="eastAsia" w:ascii="宋体" w:hAnsi="宋体" w:eastAsia="宋体" w:cs="宋体"/>
      <w:color w:val="000000"/>
      <w:u w:val="none"/>
    </w:rPr>
  </w:style>
  <w:style w:type="character" w:styleId="10">
    <w:name w:val="Hyperlink"/>
    <w:basedOn w:val="7"/>
    <w:unhideWhenUsed/>
    <w:qFormat/>
    <w:uiPriority w:val="99"/>
    <w:rPr>
      <w:rFonts w:hint="eastAsia" w:ascii="宋体" w:hAnsi="宋体" w:eastAsia="宋体" w:cs="宋体"/>
      <w:color w:val="000000"/>
      <w:u w:val="none"/>
    </w:rPr>
  </w:style>
  <w:style w:type="character" w:customStyle="1" w:styleId="11">
    <w:name w:val="标题 1 Char"/>
    <w:basedOn w:val="7"/>
    <w:link w:val="2"/>
    <w:qFormat/>
    <w:uiPriority w:val="9"/>
    <w:rPr>
      <w:rFonts w:ascii="Calibri" w:hAnsi="Calibri" w:cs="Arial"/>
      <w:b/>
      <w:bCs/>
      <w:kern w:val="44"/>
      <w:sz w:val="44"/>
      <w:szCs w:val="44"/>
    </w:rPr>
  </w:style>
  <w:style w:type="character" w:customStyle="1" w:styleId="12">
    <w:name w:val="页脚 Char"/>
    <w:basedOn w:val="7"/>
    <w:link w:val="3"/>
    <w:qFormat/>
    <w:locked/>
    <w:uiPriority w:val="99"/>
    <w:rPr>
      <w:rFonts w:ascii="Calibri" w:hAnsi="Calibri" w:eastAsia="宋体" w:cs="Arial"/>
      <w:kern w:val="0"/>
      <w:sz w:val="18"/>
      <w:szCs w:val="18"/>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宋体" w:hAnsi="宋体" w:eastAsia="宋体" w:cs="宋体"/>
      <w:b/>
      <w:color w:val="000000"/>
      <w:sz w:val="20"/>
      <w:szCs w:val="20"/>
      <w:u w:val="none"/>
    </w:rPr>
  </w:style>
  <w:style w:type="character" w:customStyle="1" w:styleId="15">
    <w:name w:val="font21"/>
    <w:basedOn w:val="7"/>
    <w:qFormat/>
    <w:uiPriority w:val="0"/>
    <w:rPr>
      <w:rFonts w:hint="eastAsia" w:ascii="宋体" w:hAnsi="宋体" w:eastAsia="宋体" w:cs="宋体"/>
      <w:b/>
      <w:color w:val="000000"/>
      <w:sz w:val="20"/>
      <w:szCs w:val="20"/>
      <w:u w:val="none"/>
    </w:rPr>
  </w:style>
  <w:style w:type="character" w:customStyle="1" w:styleId="16">
    <w:name w:val="页眉 Char"/>
    <w:basedOn w:val="7"/>
    <w:link w:val="4"/>
    <w:semiHidden/>
    <w:qFormat/>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26809</Words>
  <Characters>152814</Characters>
  <Lines>1273</Lines>
  <Paragraphs>358</Paragraphs>
  <TotalTime>6</TotalTime>
  <ScaleCrop>false</ScaleCrop>
  <LinksUpToDate>false</LinksUpToDate>
  <CharactersWithSpaces>179265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2017-04-20T19:37:00Z</dcterms:created>
  <dc:creator>Administrator</dc:creator>
  <cp:lastModifiedBy>gxxc</cp:lastModifiedBy>
  <cp:lastPrinted>2017-04-26T15:07:00Z</cp:lastPrinted>
  <dcterms:modified xsi:type="dcterms:W3CDTF">2023-03-31T15:37:40Z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889C25DB561C4D23B0CD3205B9037141</vt:lpwstr>
  </property>
</Properties>
</file>