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80" w:lineRule="exact"/>
        <w:jc w:val="both"/>
        <w:rPr>
          <w:rFonts w:ascii="仿宋_GB2312" w:hAnsi="Times New Roman" w:eastAsia="仿宋_GB2312" w:cs="Times New Roman"/>
          <w:kern w:val="2"/>
          <w:sz w:val="32"/>
          <w:szCs w:val="32"/>
        </w:rPr>
      </w:pPr>
    </w:p>
    <w:p>
      <w:pPr>
        <w:adjustRightInd w:val="0"/>
        <w:snapToGrid w:val="0"/>
        <w:spacing w:line="560" w:lineRule="exact"/>
        <w:jc w:val="center"/>
        <w:rPr>
          <w:rFonts w:hint="eastAsia" w:ascii="仿宋_GB2312" w:eastAsia="宋体"/>
          <w:snapToGrid w:val="0"/>
          <w:color w:val="000000"/>
          <w:sz w:val="18"/>
          <w:szCs w:val="18"/>
          <w:lang w:eastAsia="zh-CN"/>
        </w:rPr>
      </w:pPr>
      <w:r>
        <w:rPr>
          <w:rFonts w:ascii="?????_GBK" w:eastAsia="Times New Roman"/>
          <w:snapToGrid w:val="0"/>
          <w:color w:val="000000"/>
          <w:sz w:val="44"/>
          <w:szCs w:val="44"/>
        </w:rPr>
        <w:t>柳州市住房和城乡建设</w:t>
      </w:r>
      <w:r>
        <w:rPr>
          <w:rFonts w:hint="eastAsia" w:ascii="?????_GBK"/>
          <w:snapToGrid w:val="0"/>
          <w:color w:val="000000"/>
          <w:sz w:val="44"/>
          <w:szCs w:val="44"/>
        </w:rPr>
        <w:t>局</w:t>
      </w:r>
      <w:r>
        <w:rPr>
          <w:rFonts w:hint="eastAsia" w:ascii="?????_GBK"/>
          <w:snapToGrid w:val="0"/>
          <w:color w:val="000000"/>
          <w:sz w:val="44"/>
          <w:szCs w:val="44"/>
          <w:lang w:eastAsia="zh-CN"/>
        </w:rPr>
        <w:t>权责清单</w:t>
      </w: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color w:val="00000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rPr>
                <w:rFonts w:ascii="仿宋_GB2312" w:hAnsi="仿宋_GB2312" w:eastAsia="仿宋_GB2312" w:cs="仿宋_GB2312"/>
                <w:snapToGrid w:val="0"/>
                <w:color w:val="000000"/>
              </w:rPr>
            </w:pPr>
          </w:p>
        </w:tc>
        <w:tc>
          <w:tcPr>
            <w:tcW w:w="2970" w:type="dxa"/>
          </w:tcPr>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县级以上人民政府房地产主管部门应当将监督检查的处理结果向社会公布。</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对注册房地产估价师执业情况监督检查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【规章】《注册房地产估价师管理办法》（</w:t>
            </w:r>
            <w:r>
              <w:rPr>
                <w:rFonts w:hint="eastAsia" w:ascii="Arial" w:hAnsi="Arial"/>
                <w:color w:val="333333"/>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w:t>
            </w:r>
            <w:r>
              <w:rPr>
                <w:rFonts w:hint="eastAsia" w:ascii="仿宋_GB2312" w:hAnsi="仿宋_GB2312" w:eastAsia="仿宋_GB2312" w:cs="仿宋_GB2312"/>
                <w:b/>
              </w:rPr>
              <w:t>责任</w:t>
            </w:r>
            <w:r>
              <w:rPr>
                <w:rFonts w:hint="eastAsia" w:ascii="仿宋_GB2312" w:hAnsi="仿宋_GB2312" w:eastAsia="仿宋_GB2312" w:cs="仿宋_GB2312"/>
              </w:rPr>
              <w:t>：监管责任：强化对本行政区域内物业管理活动的监督管理,建立守信联合激励和失信联合惩戒机制，加强行业诚信管理。</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3.【法规】【法规】《广西壮族自治区物业管理条例》（根据2016年11月30日广西壮族自治区第十二届人民代表大会常务委员会第二十六次会议《关于废止和修改部分地方性法规的决定》第二次修正）</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5.同3.</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2.【规章】《房地产开发企业资质管理规定》（建设部令第77号，2018年12月住建部第45号令修正）第四条第二款：县级以上地方人民政府房地产开发主管部门负责本行政区域内房地产开发企业的资质管理工作。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4.【规章】《房地产开发企业资质管理规定》（建设部令第77号，2018年12月住建部第45号令修正）第四条第二款：县级以上地方人民政府房地产开发主管部门负责本行政区域内房地产开发企业的资质管理工作。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spacing w:line="280" w:lineRule="exac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朱镕基以国务院令第248号文件形式发布、施行，根据2011年1月8日国务院第138次常务会议通过《国务院关于废止和修改部分行政法规的决定》、由温家宝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2018年12月住建部第45号令修正）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color w:val="00000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 xml:space="preserve">1. </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11</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snapToGrid w:val="0"/>
                <w:color w:val="000000"/>
              </w:rPr>
              <w:t>5.其他责任</w:t>
            </w:r>
            <w:r>
              <w:rPr>
                <w:rFonts w:hint="eastAsia" w:ascii="仿宋_GB2312" w:hAnsi="仿宋_GB2312" w:eastAsia="仿宋_GB2312" w:cs="仿宋_GB2312"/>
                <w:snapToGrid w:val="0"/>
                <w:color w:val="00000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399"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color w:val="333333"/>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color w:val="00000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color w:val="333333"/>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建设工程招标投标活动监督检查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rPr>
            </w:pP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四条：县级以上地方人民政府建设行政主管部门负责本行政区域内工程施工招标投标活动的监督管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w:t>
            </w:r>
            <w:r>
              <w:rPr>
                <w:rFonts w:hint="eastAsia" w:ascii="仿宋_GB2312" w:hAnsi="仿宋_GB2312" w:eastAsia="仿宋_GB2312" w:cs="仿宋_GB2312"/>
                <w:lang w:eastAsia="zh-CN"/>
              </w:rPr>
              <w:t>招标投标</w:t>
            </w:r>
            <w:r>
              <w:rPr>
                <w:rFonts w:hint="eastAsia" w:ascii="仿宋_GB2312" w:hAnsi="仿宋_GB2312" w:eastAsia="仿宋_GB2312" w:cs="仿宋_GB2312"/>
              </w:rPr>
              <w:t>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3-2.【规章】同1-3</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-1.【法律】《中华人民共和国招标投标法》（11999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4-2.【规章】同1-3</w:t>
            </w:r>
          </w:p>
          <w:p>
            <w:pPr>
              <w:adjustRightInd w:val="0"/>
              <w:snapToGrid w:val="0"/>
              <w:spacing w:line="24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【规章】《建筑业企业资质管理规定》（2015年住房和城乡建设部令第22号 2015年3月1日施行，2018年12月住建部第45号令修正）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：强化对建筑业企业是否满足资质标准和市场行为的监管。</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1-2.【部门规章】《建筑业企业资质管理规定》（2015年住房和城乡建设部令第22号公布 2015年3月1日施行，2018年12月住建部第45号令修正）第二十四条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2-2.【规章】《建筑业企业资质管理规定》（2015年住房和城乡建设部令第22号公布 2015年3月1日施行，2018年12月住建部第45号令修正）第二十六条　住房城乡建设主管部门、其他有关部门的监督检查人员在实施监督检查时，应当出示证件，并要有两名以上人员参加……</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3.【规章】《建筑业企业资质管理规定》（2015年住房和城乡建设部令第22号公布 2015年3月1日施行，2018年12月住建部第45号令修正）第二十七条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4.【规章】《建筑业企业资质管理规定》（2015年住房和城乡建设部令第22号公布 2015年3月1日施行，2018年12月住建部第45号令修正）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2015年3月1日施行，2018年12月住建部第45号令修正）第四十一条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72"/>
        <w:gridCol w:w="2993"/>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7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1</w:t>
            </w:r>
            <w:r>
              <w:rPr>
                <w:rFonts w:hint="eastAsia" w:ascii="仿宋_GB2312" w:hAnsi="仿宋_GB2312" w:eastAsia="仿宋_GB2312" w:cs="仿宋_GB2312"/>
                <w:snapToGrid w:val="0"/>
                <w:color w:val="000000"/>
                <w:lang w:val="en-US" w:eastAsia="zh-CN"/>
              </w:rPr>
              <w:t>6</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3272"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shd w:val="clear" w:color="auto" w:fill="auto"/>
            <w:vAlign w:val="center"/>
          </w:tcPr>
          <w:p>
            <w:pPr>
              <w:spacing w:line="240" w:lineRule="exact"/>
              <w:rPr>
                <w:rFonts w:ascii="仿宋_GB2312" w:hAnsi="仿宋_GB2312" w:eastAsia="仿宋_GB2312" w:cs="仿宋_GB2312"/>
              </w:rPr>
            </w:pPr>
          </w:p>
        </w:tc>
        <w:tc>
          <w:tcPr>
            <w:tcW w:w="705" w:type="dxa"/>
            <w:shd w:val="clear" w:color="auto" w:fill="auto"/>
            <w:vAlign w:val="center"/>
          </w:tcPr>
          <w:p>
            <w:pPr>
              <w:rPr>
                <w:rFonts w:ascii="仿宋_GB2312" w:hAnsi="仿宋_GB2312" w:eastAsia="仿宋_GB2312" w:cs="仿宋_GB2312"/>
              </w:rPr>
            </w:pPr>
          </w:p>
        </w:tc>
        <w:tc>
          <w:tcPr>
            <w:tcW w:w="48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3272"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93"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1</w:t>
            </w:r>
            <w:r>
              <w:rPr>
                <w:rFonts w:hint="eastAsia" w:ascii="仿宋_GB2312" w:hAnsi="仿宋_GB2312" w:eastAsia="仿宋_GB2312" w:cs="仿宋_GB2312"/>
                <w:snapToGrid w:val="0"/>
                <w:color w:val="000000"/>
                <w:lang w:val="en-US" w:eastAsia="zh-CN"/>
              </w:rPr>
              <w:t>7</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1.对工程勘察设计质量的监督检查</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240" w:lineRule="atLeast"/>
              <w:ind w:firstLine="400" w:firstLineChars="200"/>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1.【规章】《建设工程勘察设计资质管理规定》（2007年6月26日建设部令第160号，2018年12月住建部第45号令修正） 第十九条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《建设工程勘察设计资质管理规定》（2007年6月26日建设部令第160号，2018年12月住建部第45号令修正）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spacing w:line="240" w:lineRule="atLeast"/>
        <w:rPr>
          <w:rFonts w:ascii="仿宋_GB2312" w:hAnsi="仿宋_GB2312" w:eastAsia="仿宋_GB2312" w:cs="仿宋_GB2312"/>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序</w:t>
            </w:r>
          </w:p>
          <w:p>
            <w:pPr>
              <w:spacing w:line="240" w:lineRule="atLeast"/>
              <w:rPr>
                <w:rFonts w:ascii="仿宋_GB2312" w:hAnsi="仿宋_GB2312" w:eastAsia="仿宋_GB2312" w:cs="仿宋_GB2312"/>
              </w:rPr>
            </w:pPr>
            <w:r>
              <w:rPr>
                <w:rFonts w:hint="eastAsia" w:ascii="仿宋_GB2312" w:hAnsi="仿宋_GB2312" w:eastAsia="仿宋_GB2312" w:cs="仿宋_GB2312"/>
              </w:rPr>
              <w:t>号</w:t>
            </w:r>
          </w:p>
        </w:tc>
        <w:tc>
          <w:tcPr>
            <w:tcW w:w="73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权力</w:t>
            </w:r>
          </w:p>
          <w:p>
            <w:pPr>
              <w:spacing w:line="240" w:lineRule="atLeast"/>
              <w:rPr>
                <w:rFonts w:ascii="仿宋_GB2312" w:hAnsi="仿宋_GB2312" w:eastAsia="仿宋_GB2312" w:cs="仿宋_GB2312"/>
              </w:rPr>
            </w:pPr>
            <w:r>
              <w:rPr>
                <w:rFonts w:hint="eastAsia" w:ascii="仿宋_GB2312" w:hAnsi="仿宋_GB2312" w:eastAsia="仿宋_GB2312" w:cs="仿宋_GB2312"/>
              </w:rPr>
              <w:t>分类</w:t>
            </w:r>
          </w:p>
        </w:tc>
        <w:tc>
          <w:tcPr>
            <w:tcW w:w="70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项目</w:t>
            </w:r>
          </w:p>
          <w:p>
            <w:pPr>
              <w:spacing w:line="240" w:lineRule="atLeast"/>
              <w:rPr>
                <w:rFonts w:ascii="仿宋_GB2312" w:hAnsi="仿宋_GB2312" w:eastAsia="仿宋_GB2312" w:cs="仿宋_GB2312"/>
              </w:rPr>
            </w:pPr>
            <w:r>
              <w:rPr>
                <w:rFonts w:hint="eastAsia" w:ascii="仿宋_GB2312" w:hAnsi="仿宋_GB2312" w:eastAsia="仿宋_GB2312" w:cs="仿宋_GB2312"/>
              </w:rPr>
              <w:t>名称</w:t>
            </w:r>
          </w:p>
        </w:tc>
        <w:tc>
          <w:tcPr>
            <w:tcW w:w="48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子</w:t>
            </w:r>
          </w:p>
          <w:p>
            <w:pPr>
              <w:spacing w:line="240" w:lineRule="atLeast"/>
              <w:rPr>
                <w:rFonts w:ascii="仿宋_GB2312" w:hAnsi="仿宋_GB2312" w:eastAsia="仿宋_GB2312" w:cs="仿宋_GB2312"/>
              </w:rPr>
            </w:pPr>
            <w:r>
              <w:rPr>
                <w:rFonts w:hint="eastAsia" w:ascii="仿宋_GB2312" w:hAnsi="仿宋_GB2312" w:eastAsia="仿宋_GB2312" w:cs="仿宋_GB2312"/>
              </w:rPr>
              <w:t>项</w:t>
            </w:r>
          </w:p>
        </w:tc>
        <w:tc>
          <w:tcPr>
            <w:tcW w:w="329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实施</w:t>
            </w:r>
          </w:p>
          <w:p>
            <w:pPr>
              <w:spacing w:line="240" w:lineRule="atLeast"/>
              <w:rPr>
                <w:rFonts w:ascii="仿宋_GB2312" w:hAnsi="仿宋_GB2312" w:eastAsia="仿宋_GB2312" w:cs="仿宋_GB2312"/>
              </w:rPr>
            </w:pPr>
            <w:r>
              <w:rPr>
                <w:rFonts w:hint="eastAsia" w:ascii="仿宋_GB2312" w:hAnsi="仿宋_GB2312" w:eastAsia="仿宋_GB2312" w:cs="仿宋_GB2312"/>
              </w:rPr>
              <w:t>依据</w:t>
            </w:r>
          </w:p>
        </w:tc>
        <w:tc>
          <w:tcPr>
            <w:tcW w:w="297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责任</w:t>
            </w:r>
          </w:p>
          <w:p>
            <w:pPr>
              <w:spacing w:line="240" w:lineRule="atLeast"/>
              <w:rPr>
                <w:rFonts w:ascii="仿宋_GB2312" w:hAnsi="仿宋_GB2312" w:eastAsia="仿宋_GB2312" w:cs="仿宋_GB2312"/>
              </w:rPr>
            </w:pPr>
            <w:r>
              <w:rPr>
                <w:rFonts w:hint="eastAsia" w:ascii="仿宋_GB2312" w:hAnsi="仿宋_GB2312" w:eastAsia="仿宋_GB2312" w:cs="仿宋_GB2312"/>
              </w:rPr>
              <w:t>事项</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责任事项依据</w:t>
            </w:r>
          </w:p>
        </w:tc>
        <w:tc>
          <w:tcPr>
            <w:tcW w:w="151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追责</w:t>
            </w:r>
          </w:p>
          <w:p>
            <w:pPr>
              <w:spacing w:line="240" w:lineRule="atLeast"/>
              <w:rPr>
                <w:rFonts w:ascii="仿宋_GB2312" w:hAnsi="仿宋_GB2312" w:eastAsia="仿宋_GB2312" w:cs="仿宋_GB2312"/>
              </w:rPr>
            </w:pPr>
            <w:r>
              <w:rPr>
                <w:rFonts w:hint="eastAsia" w:ascii="仿宋_GB2312" w:hAnsi="仿宋_GB2312" w:eastAsia="仿宋_GB2312" w:cs="仿宋_GB2312"/>
              </w:rPr>
              <w:t>情形</w:t>
            </w:r>
          </w:p>
        </w:tc>
        <w:tc>
          <w:tcPr>
            <w:tcW w:w="4858"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追责情形</w:t>
            </w:r>
          </w:p>
          <w:p>
            <w:pPr>
              <w:spacing w:line="240" w:lineRule="atLeast"/>
              <w:rPr>
                <w:rFonts w:ascii="仿宋_GB2312" w:hAnsi="仿宋_GB2312" w:eastAsia="仿宋_GB2312" w:cs="仿宋_GB2312"/>
              </w:rPr>
            </w:pPr>
            <w:r>
              <w:rPr>
                <w:rFonts w:hint="eastAsia" w:ascii="仿宋_GB2312" w:hAnsi="仿宋_GB2312" w:eastAsia="仿宋_GB2312" w:cs="仿宋_GB2312"/>
              </w:rPr>
              <w:t>依据</w:t>
            </w:r>
          </w:p>
        </w:tc>
        <w:tc>
          <w:tcPr>
            <w:tcW w:w="984" w:type="dxa"/>
          </w:tcPr>
          <w:p>
            <w:pPr>
              <w:spacing w:line="240" w:lineRule="atLeast"/>
              <w:rPr>
                <w:rFonts w:ascii="仿宋_GB2312" w:hAnsi="仿宋_GB2312" w:eastAsia="仿宋_GB2312" w:cs="仿宋_GB2312"/>
              </w:rPr>
            </w:pPr>
            <w:r>
              <w:rPr>
                <w:rFonts w:hint="eastAsia" w:ascii="仿宋_GB2312" w:hAnsi="仿宋_GB2312" w:eastAsia="仿宋_GB2312" w:cs="仿宋_GB2312"/>
              </w:rPr>
              <w:t>权力调整意见</w:t>
            </w:r>
          </w:p>
          <w:p>
            <w:pPr>
              <w:spacing w:line="240" w:lineRule="atLeast"/>
              <w:rPr>
                <w:rFonts w:ascii="仿宋_GB2312" w:hAnsi="仿宋_GB2312" w:eastAsia="仿宋_GB2312" w:cs="仿宋_GB2312"/>
              </w:rPr>
            </w:pPr>
            <w:r>
              <w:rPr>
                <w:rFonts w:hint="eastAsia" w:ascii="仿宋_GB2312" w:hAnsi="仿宋_GB2312" w:eastAsia="仿宋_GB2312" w:cs="仿宋_GB2312"/>
              </w:rPr>
              <w:t>及依据</w:t>
            </w:r>
          </w:p>
        </w:tc>
        <w:tc>
          <w:tcPr>
            <w:tcW w:w="40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备</w:t>
            </w:r>
          </w:p>
          <w:p>
            <w:pPr>
              <w:spacing w:line="240" w:lineRule="atLeast"/>
              <w:rPr>
                <w:rFonts w:ascii="仿宋_GB2312" w:hAnsi="仿宋_GB2312" w:eastAsia="仿宋_GB2312" w:cs="仿宋_GB2312"/>
              </w:rPr>
            </w:pPr>
            <w:r>
              <w:rPr>
                <w:rFonts w:hint="eastAsia" w:ascii="仿宋_GB2312" w:hAnsi="仿宋_GB2312" w:eastAsia="仿宋_GB2312" w:cs="仿宋_GB231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spacing w:line="240" w:lineRule="atLeas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房屋建筑和市政基础设施工程勘察、设计质量和施工图设计文件审查质量检查</w:t>
            </w:r>
          </w:p>
        </w:tc>
        <w:tc>
          <w:tcPr>
            <w:tcW w:w="485" w:type="dxa"/>
            <w:shd w:val="clear" w:color="auto" w:fill="auto"/>
            <w:vAlign w:val="center"/>
          </w:tcPr>
          <w:p>
            <w:pPr>
              <w:spacing w:line="240" w:lineRule="atLeast"/>
              <w:rPr>
                <w:rFonts w:ascii="仿宋_GB2312" w:hAnsi="仿宋_GB2312" w:eastAsia="仿宋_GB2312" w:cs="仿宋_GB2312"/>
              </w:rPr>
            </w:pPr>
          </w:p>
        </w:tc>
        <w:tc>
          <w:tcPr>
            <w:tcW w:w="329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住房和城乡建设部关于修改&lt;房屋建筑和市政基础设施工程施工图设计文件审查管理办法&gt;的决定》已经2018年12月13日第5次部常务会议审议通过）第四条第二款“县级以上地方人民政府住房城乡建设主管部门负责对本行政区域内的施工图审查工作实施监督管理。”</w:t>
            </w:r>
          </w:p>
          <w:p>
            <w:pPr>
              <w:spacing w:line="240" w:lineRule="exact"/>
              <w:rPr>
                <w:rFonts w:ascii="仿宋_GB2312" w:hAnsi="仿宋_GB2312" w:eastAsia="仿宋_GB2312" w:cs="仿宋_GB2312"/>
              </w:rPr>
            </w:pPr>
            <w:r>
              <w:rPr>
                <w:rFonts w:hint="eastAsia" w:ascii="仿宋_GB2312" w:hAnsi="仿宋_GB2312" w:eastAsia="仿宋_GB2312" w:cs="仿宋_GB2312"/>
              </w:rPr>
              <w:t xml:space="preserve">第十九条“县级以上人民政府建设主管部门应当加强对审查机构的监督检查，主要检查下列内容： </w:t>
            </w:r>
          </w:p>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（二）是否超出认定的范围从事施工图审查； </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（三）涉及消防安全性、人防工程（不含人防指挥工程）防护安全性的，由县级以上人民政府有关部门按照职责分工实施监督检查和行政处罚，并将监督检查结果向社会公布</w:t>
            </w:r>
          </w:p>
          <w:p>
            <w:pPr>
              <w:spacing w:line="240" w:lineRule="exact"/>
              <w:rPr>
                <w:rFonts w:ascii="仿宋_GB2312" w:hAnsi="仿宋_GB2312" w:eastAsia="仿宋_GB2312" w:cs="仿宋_GB2312"/>
              </w:rPr>
            </w:pPr>
            <w:r>
              <w:rPr>
                <w:rFonts w:hint="eastAsia" w:ascii="仿宋_GB2312" w:hAnsi="仿宋_GB2312" w:eastAsia="仿宋_GB2312" w:cs="仿宋_GB2312"/>
              </w:rPr>
              <w:t>　　</w:t>
            </w:r>
            <w:r>
              <w:rPr>
                <w:rFonts w:ascii="仿宋_GB2312" w:hAnsi="仿宋_GB2312" w:eastAsia="仿宋_GB2312" w:cs="仿宋_GB2312"/>
              </w:rPr>
              <w:t>（四）是否使用不符合条件的审查人员；</w:t>
            </w:r>
          </w:p>
          <w:p>
            <w:pPr>
              <w:spacing w:line="240" w:lineRule="exact"/>
              <w:ind w:firstLine="400" w:firstLineChars="200"/>
              <w:rPr>
                <w:rFonts w:ascii="仿宋_GB2312" w:hAnsi="仿宋_GB2312" w:eastAsia="仿宋_GB2312" w:cs="仿宋_GB2312"/>
              </w:rPr>
            </w:pPr>
            <w:r>
              <w:rPr>
                <w:rFonts w:ascii="仿宋_GB2312" w:hAnsi="仿宋_GB2312" w:eastAsia="仿宋_GB2312" w:cs="仿宋_GB2312"/>
              </w:rPr>
              <w:t>（五）是否按规定的内容进行审查；</w:t>
            </w:r>
            <w:r>
              <w:rPr>
                <w:rFonts w:ascii="仿宋_GB2312" w:hAnsi="仿宋_GB2312" w:eastAsia="仿宋_GB2312" w:cs="仿宋_GB2312"/>
              </w:rPr>
              <w:br w:type="textWrapping"/>
            </w:r>
            <w:r>
              <w:rPr>
                <w:rFonts w:ascii="仿宋_GB2312" w:hAnsi="仿宋_GB2312" w:eastAsia="仿宋_GB2312" w:cs="仿宋_GB2312"/>
              </w:rPr>
              <w:t>　　（六）是否按规定上报审查过程中发现的违法违规行为；</w:t>
            </w:r>
            <w:r>
              <w:rPr>
                <w:rFonts w:ascii="仿宋_GB2312" w:hAnsi="仿宋_GB2312" w:eastAsia="仿宋_GB2312" w:cs="仿宋_GB2312"/>
              </w:rPr>
              <w:br w:type="textWrapping"/>
            </w:r>
            <w:r>
              <w:rPr>
                <w:rFonts w:ascii="仿宋_GB2312" w:hAnsi="仿宋_GB2312" w:eastAsia="仿宋_GB2312" w:cs="仿宋_GB2312"/>
              </w:rPr>
              <w:t>　　（七）是否按规定填写审查意见告知书；</w:t>
            </w:r>
            <w:r>
              <w:rPr>
                <w:rFonts w:ascii="仿宋_GB2312" w:hAnsi="仿宋_GB2312" w:eastAsia="仿宋_GB2312" w:cs="仿宋_GB2312"/>
              </w:rPr>
              <w:br w:type="textWrapping"/>
            </w:r>
            <w:r>
              <w:rPr>
                <w:rFonts w:ascii="仿宋_GB2312" w:hAnsi="仿宋_GB2312" w:eastAsia="仿宋_GB2312" w:cs="仿宋_GB2312"/>
              </w:rPr>
              <w:t>　　（八）是否按规定在审查合格书和施工图上签字盖章；</w:t>
            </w:r>
            <w:r>
              <w:rPr>
                <w:rFonts w:ascii="仿宋_GB2312" w:hAnsi="仿宋_GB2312" w:eastAsia="仿宋_GB2312" w:cs="仿宋_GB2312"/>
              </w:rPr>
              <w:br w:type="textWrapping"/>
            </w:r>
            <w:r>
              <w:rPr>
                <w:rFonts w:ascii="仿宋_GB2312" w:hAnsi="仿宋_GB2312" w:eastAsia="仿宋_GB2312" w:cs="仿宋_GB2312"/>
              </w:rPr>
              <w:t>　　（九）是否建立健全审查机构内部管理制度；</w:t>
            </w:r>
            <w:r>
              <w:rPr>
                <w:rFonts w:ascii="仿宋_GB2312" w:hAnsi="仿宋_GB2312" w:eastAsia="仿宋_GB2312" w:cs="仿宋_GB2312"/>
              </w:rPr>
              <w:br w:type="textWrapping"/>
            </w:r>
            <w:r>
              <w:rPr>
                <w:rFonts w:ascii="仿宋_GB2312" w:hAnsi="仿宋_GB2312" w:eastAsia="仿宋_GB2312" w:cs="仿宋_GB2312"/>
              </w:rPr>
              <w:t>　　（十）审查人员是否按规定参加继续教育。</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　县级以上人民政府住房城乡建设主管部门实施监督检查时，有权要求被检查的审查机构提供有关施工图审查的文件和资料，并将监督检查结果向社会公布。</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1.告知责任：制定检查方案，内容包括检查和判定依据、主要检查项目、承检单位范围等。</w:t>
            </w:r>
          </w:p>
          <w:p>
            <w:pPr>
              <w:spacing w:line="240" w:lineRule="atLeast"/>
              <w:rPr>
                <w:rFonts w:ascii="仿宋_GB2312" w:hAnsi="仿宋_GB2312" w:eastAsia="仿宋_GB2312" w:cs="仿宋_GB2312"/>
              </w:rPr>
            </w:pPr>
            <w:r>
              <w:rPr>
                <w:rFonts w:hint="eastAsia" w:ascii="仿宋_GB2312" w:hAnsi="仿宋_GB2312" w:eastAsia="仿宋_GB2312" w:cs="仿宋_GB2312"/>
              </w:rPr>
              <w:t>2.检查责任：依法、依规进行检查。</w:t>
            </w:r>
          </w:p>
          <w:p>
            <w:pPr>
              <w:spacing w:line="240" w:lineRule="atLeast"/>
              <w:rPr>
                <w:rFonts w:ascii="仿宋_GB2312" w:hAnsi="仿宋_GB2312" w:eastAsia="仿宋_GB2312" w:cs="仿宋_GB2312"/>
              </w:rPr>
            </w:pPr>
            <w:r>
              <w:rPr>
                <w:rFonts w:hint="eastAsia" w:ascii="仿宋_GB2312" w:hAnsi="仿宋_GB2312" w:eastAsia="仿宋_GB2312" w:cs="仿宋_GB2312"/>
              </w:rPr>
              <w:t>3.处理责任：检查结束后应按规定通报结果；依据相关法律法规对当事企业违法线索移交执法部门立案查处。</w:t>
            </w:r>
          </w:p>
          <w:p>
            <w:pPr>
              <w:spacing w:line="240" w:lineRule="atLeast"/>
              <w:rPr>
                <w:rFonts w:ascii="仿宋_GB2312" w:hAnsi="仿宋_GB2312" w:eastAsia="仿宋_GB2312" w:cs="仿宋_GB2312"/>
              </w:rPr>
            </w:pPr>
            <w:r>
              <w:rPr>
                <w:rFonts w:hint="eastAsia" w:ascii="仿宋_GB2312" w:hAnsi="仿宋_GB2312" w:eastAsia="仿宋_GB2312" w:cs="仿宋_GB2312"/>
              </w:rPr>
              <w:t>4.监管责任：强化房屋建筑和市政基础设施工程勘察、设计质量和施工图设计文件审查质量监管。</w:t>
            </w:r>
          </w:p>
          <w:p>
            <w:pPr>
              <w:spacing w:line="240" w:lineRule="atLeast"/>
              <w:rPr>
                <w:rFonts w:ascii="仿宋_GB2312" w:hAnsi="仿宋_GB2312" w:eastAsia="仿宋_GB2312" w:cs="仿宋_GB2312"/>
              </w:rPr>
            </w:pPr>
            <w:r>
              <w:rPr>
                <w:rFonts w:hint="eastAsia" w:ascii="仿宋_GB2312" w:hAnsi="仿宋_GB2312" w:eastAsia="仿宋_GB2312" w:cs="仿宋_GB2312"/>
              </w:rPr>
              <w:t>5.其他责任：法律法规规章规定应履行的其他责任。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第十九条“县级以上人民政府建设主管部门应当加强对审查机构的监督检查，主要检查下列内容：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（二）是否超出认定的范围从事施工图审查； </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（三）涉及消防安全性、人防工程（不含人防指挥工程）防护安全性的，由县级以上人民政府有关部门按照职责分工实施监督检查和行政处罚，并将监督检查结果向社会公布</w:t>
            </w:r>
          </w:p>
          <w:p>
            <w:pPr>
              <w:spacing w:line="240" w:lineRule="atLeast"/>
              <w:ind w:firstLine="400"/>
              <w:rPr>
                <w:rFonts w:ascii="仿宋_GB2312" w:hAnsi="仿宋_GB2312" w:eastAsia="仿宋_GB2312" w:cs="仿宋_GB2312"/>
              </w:rPr>
            </w:pPr>
            <w:r>
              <w:rPr>
                <w:rFonts w:ascii="仿宋_GB2312" w:hAnsi="仿宋_GB2312" w:eastAsia="仿宋_GB2312" w:cs="仿宋_GB2312"/>
              </w:rPr>
              <w:t>（四）是否使用不符合条件的审查人员；</w:t>
            </w:r>
          </w:p>
          <w:p>
            <w:pPr>
              <w:spacing w:line="240" w:lineRule="atLeast"/>
              <w:ind w:firstLine="400"/>
              <w:rPr>
                <w:rFonts w:ascii="仿宋_GB2312" w:hAnsi="仿宋_GB2312" w:eastAsia="仿宋_GB2312" w:cs="仿宋_GB2312"/>
              </w:rPr>
            </w:pPr>
            <w:r>
              <w:rPr>
                <w:rFonts w:ascii="仿宋_GB2312" w:hAnsi="仿宋_GB2312" w:eastAsia="仿宋_GB2312" w:cs="仿宋_GB2312"/>
              </w:rPr>
              <w:t>（五）是否按规定的内容进行审查；</w:t>
            </w:r>
            <w:r>
              <w:rPr>
                <w:rFonts w:ascii="仿宋_GB2312" w:hAnsi="仿宋_GB2312" w:eastAsia="仿宋_GB2312" w:cs="仿宋_GB2312"/>
              </w:rPr>
              <w:br w:type="textWrapping"/>
            </w:r>
            <w:r>
              <w:rPr>
                <w:rFonts w:ascii="仿宋_GB2312" w:hAnsi="仿宋_GB2312" w:eastAsia="仿宋_GB2312" w:cs="仿宋_GB2312"/>
              </w:rPr>
              <w:t>　　（六）是否按规定上报审查过程中发现的违法违规行为；</w:t>
            </w:r>
            <w:r>
              <w:rPr>
                <w:rFonts w:ascii="仿宋_GB2312" w:hAnsi="仿宋_GB2312" w:eastAsia="仿宋_GB2312" w:cs="仿宋_GB2312"/>
              </w:rPr>
              <w:br w:type="textWrapping"/>
            </w:r>
            <w:r>
              <w:rPr>
                <w:rFonts w:ascii="仿宋_GB2312" w:hAnsi="仿宋_GB2312" w:eastAsia="仿宋_GB2312" w:cs="仿宋_GB2312"/>
              </w:rPr>
              <w:t>　　（七）是否按规定填写审查意见告知书；</w:t>
            </w:r>
            <w:r>
              <w:rPr>
                <w:rFonts w:ascii="仿宋_GB2312" w:hAnsi="仿宋_GB2312" w:eastAsia="仿宋_GB2312" w:cs="仿宋_GB2312"/>
              </w:rPr>
              <w:br w:type="textWrapping"/>
            </w:r>
            <w:r>
              <w:rPr>
                <w:rFonts w:ascii="仿宋_GB2312" w:hAnsi="仿宋_GB2312" w:eastAsia="仿宋_GB2312" w:cs="仿宋_GB2312"/>
              </w:rPr>
              <w:t>　　（八）是否按规定在审查合格书和施工图上签字盖章；</w:t>
            </w:r>
            <w:r>
              <w:rPr>
                <w:rFonts w:ascii="仿宋_GB2312" w:hAnsi="仿宋_GB2312" w:eastAsia="仿宋_GB2312" w:cs="仿宋_GB2312"/>
              </w:rPr>
              <w:br w:type="textWrapping"/>
            </w:r>
            <w:r>
              <w:rPr>
                <w:rFonts w:ascii="仿宋_GB2312" w:hAnsi="仿宋_GB2312" w:eastAsia="仿宋_GB2312" w:cs="仿宋_GB2312"/>
              </w:rPr>
              <w:t>　　（九）是否建立健全审查机构内部管理制度；</w:t>
            </w:r>
            <w:r>
              <w:rPr>
                <w:rFonts w:ascii="仿宋_GB2312" w:hAnsi="仿宋_GB2312" w:eastAsia="仿宋_GB2312" w:cs="仿宋_GB2312"/>
              </w:rPr>
              <w:br w:type="textWrapping"/>
            </w:r>
            <w:r>
              <w:rPr>
                <w:rFonts w:ascii="仿宋_GB2312" w:hAnsi="仿宋_GB2312" w:eastAsia="仿宋_GB2312" w:cs="仿宋_GB2312"/>
              </w:rPr>
              <w:t>　　（十）审查人员是否按规定参加继续教育。</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　县级以上人民政府住房城乡建设主管部门实施监督检查时，有权要求被检查的审查机构提供有关施工图审查的文件和资料，并将监督检查结果向社会公布。</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2.同1</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3.同1</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rPr>
                <w:rFonts w:ascii="仿宋_GB2312" w:hAnsi="仿宋_GB2312" w:eastAsia="仿宋_GB2312" w:cs="仿宋_GB2312"/>
              </w:rPr>
            </w:pP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spacing w:line="240" w:lineRule="atLeast"/>
              <w:rPr>
                <w:rFonts w:ascii="仿宋_GB2312" w:hAnsi="仿宋_GB2312" w:eastAsia="仿宋_GB2312" w:cs="仿宋_GB2312"/>
              </w:rPr>
            </w:pPr>
            <w:r>
              <w:rPr>
                <w:rFonts w:hint="eastAsia" w:ascii="仿宋_GB2312" w:hAnsi="仿宋_GB2312" w:eastAsia="仿宋_GB2312" w:cs="仿宋_GB2312"/>
              </w:rPr>
              <w:t>3.同1.</w:t>
            </w:r>
          </w:p>
          <w:p>
            <w:pPr>
              <w:spacing w:line="240" w:lineRule="atLeast"/>
              <w:rPr>
                <w:rFonts w:ascii="仿宋_GB2312" w:hAnsi="仿宋_GB2312" w:eastAsia="仿宋_GB2312" w:cs="仿宋_GB2312"/>
              </w:rPr>
            </w:pPr>
            <w:r>
              <w:rPr>
                <w:rFonts w:hint="eastAsia" w:ascii="仿宋_GB2312" w:hAnsi="仿宋_GB2312" w:eastAsia="仿宋_GB2312" w:cs="仿宋_GB2312"/>
              </w:rPr>
              <w:t>4.同1</w:t>
            </w:r>
          </w:p>
          <w:p>
            <w:pPr>
              <w:spacing w:line="240" w:lineRule="atLeas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spacing w:line="240" w:lineRule="atLeast"/>
              <w:rPr>
                <w:rFonts w:ascii="仿宋_GB2312" w:hAnsi="仿宋_GB2312" w:eastAsia="仿宋_GB2312" w:cs="仿宋_GB2312"/>
              </w:rPr>
            </w:pPr>
            <w:r>
              <w:rPr>
                <w:rFonts w:hint="eastAsia" w:ascii="仿宋_GB2312" w:hAnsi="仿宋_GB2312" w:eastAsia="仿宋_GB2312" w:cs="仿宋_GB2312"/>
              </w:rPr>
              <w:t>6.【规章】《建设工程勘察设计管理条例》的决定（2000年9月25日中华人民共和国国务院令第293号公布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spacing w:line="240" w:lineRule="atLeast"/>
              <w:rPr>
                <w:rFonts w:ascii="仿宋_GB2312" w:hAnsi="仿宋_GB2312" w:eastAsia="仿宋_GB2312" w:cs="仿宋_GB2312"/>
              </w:rPr>
            </w:pPr>
          </w:p>
        </w:tc>
        <w:tc>
          <w:tcPr>
            <w:tcW w:w="984" w:type="dxa"/>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p>
            <w:pPr>
              <w:spacing w:line="240" w:lineRule="atLeast"/>
              <w:rPr>
                <w:rFonts w:ascii="仿宋_GB2312" w:hAnsi="仿宋_GB2312" w:eastAsia="仿宋_GB2312" w:cs="仿宋_GB2312"/>
              </w:rPr>
            </w:pPr>
          </w:p>
        </w:tc>
        <w:tc>
          <w:tcPr>
            <w:tcW w:w="400" w:type="dxa"/>
          </w:tcPr>
          <w:p>
            <w:pPr>
              <w:spacing w:line="240" w:lineRule="atLeast"/>
              <w:rPr>
                <w:rFonts w:ascii="仿宋_GB2312" w:hAnsi="仿宋_GB2312" w:eastAsia="仿宋_GB2312" w:cs="仿宋_GB2312"/>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4922"/>
        <w:gridCol w:w="2750"/>
        <w:gridCol w:w="3543"/>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492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7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354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19</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1.房屋建筑和市政基础设施工程抗震设防情况的监督检查</w:t>
            </w:r>
          </w:p>
        </w:tc>
        <w:tc>
          <w:tcPr>
            <w:tcW w:w="492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1.【法律】《中华人民共和国防震减灾法》（</w:t>
            </w:r>
            <w:r>
              <w:rPr>
                <w:rFonts w:hint="eastAsia" w:ascii="仿宋_GB2312" w:hAnsi="仿宋_GB2312" w:eastAsia="仿宋_GB2312" w:cs="仿宋_GB2312"/>
                <w:color w:val="333333"/>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rPr>
              <w:br w:type="textWrapping"/>
            </w:r>
            <w:r>
              <w:rPr>
                <w:rFonts w:hint="eastAsia" w:ascii="仿宋_GB2312" w:hAnsi="仿宋_GB2312" w:eastAsia="仿宋_GB2312" w:cs="仿宋_GB2312"/>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60" w:lineRule="exact"/>
              <w:rPr>
                <w:rFonts w:ascii="仿宋_GB2312" w:hAnsi="仿宋_GB2312" w:eastAsia="仿宋_GB2312" w:cs="仿宋_GB2312"/>
                <w:snapToGrid w:val="0"/>
                <w:color w:val="000000"/>
              </w:rPr>
            </w:pPr>
            <w:r>
              <w:rPr>
                <w:rFonts w:hint="eastAsia" w:ascii="仿宋_GB2312" w:hAnsi="仿宋_GB2312" w:eastAsia="仿宋_GB2312" w:cs="仿宋_GB2312"/>
              </w:rPr>
              <w:t>4.【规章】《超限高层建筑工程抗震设防管理规定》（</w:t>
            </w:r>
            <w:r>
              <w:rPr>
                <w:rFonts w:hint="eastAsia" w:ascii="仿宋_GB2312" w:hAnsi="仿宋_GB2312" w:eastAsia="仿宋_GB2312" w:cs="仿宋_GB2312"/>
                <w:color w:val="333333"/>
                <w:shd w:val="clear" w:color="auto" w:fill="FFFFFF"/>
              </w:rPr>
              <w:t>经2002年7月11日建设部第61次常务会议审议通过，中华人民共和国建设部令第 111 号</w:t>
            </w:r>
            <w:r>
              <w:rPr>
                <w:rFonts w:hint="eastAsia" w:ascii="仿宋_GB2312" w:hAnsi="仿宋_GB2312" w:eastAsia="仿宋_GB2312" w:cs="仿宋_GB2312"/>
              </w:rPr>
              <w:t>）第三条　国务院建设行政主管部门负责全国超限高层建筑工程抗震设防的管理工作。省、自治区、直辖市人民政府建设行政主管部门负责本行政区内超限高层建筑工程抗震设防的管理工作。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（一）要求被检查的单位提供有关房屋建筑工程抗震的文件和资料；（二）发现有影响房屋建筑工程抗震设防质量的问题时，责令改正。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14:textFill>
                  <w14:solidFill>
                    <w14:schemeClr w14:val="tx1"/>
                  </w14:solidFill>
                </w14:textFill>
              </w:rPr>
              <w:t xml:space="preserve">6-2. </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《超限高层建筑工程抗震设防管理规定》</w:t>
            </w:r>
            <w:r>
              <w:rPr>
                <w:rFonts w:ascii="仿宋_GB2312" w:hAnsi="仿宋_GB2312" w:eastAsia="仿宋_GB2312" w:cs="仿宋_GB2312"/>
                <w:color w:val="000000" w:themeColor="text1"/>
                <w14:textFill>
                  <w14:solidFill>
                    <w14:schemeClr w14:val="tx1"/>
                  </w14:solidFill>
                </w14:textFill>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2.市政公用设施抗震专项论证工作检查</w:t>
            </w:r>
          </w:p>
        </w:tc>
        <w:tc>
          <w:tcPr>
            <w:tcW w:w="4922" w:type="dxa"/>
            <w:vAlign w:val="center"/>
          </w:tcPr>
          <w:p>
            <w:pPr>
              <w:adjustRightInd w:val="0"/>
              <w:snapToGrid w:val="0"/>
              <w:rPr>
                <w:rFonts w:ascii="仿宋_GB2312" w:hAnsi="仿宋_GB2312" w:eastAsia="仿宋_GB2312" w:cs="仿宋_GB2312"/>
                <w:snapToGrid w:val="0"/>
                <w:color w:val="000000"/>
              </w:rPr>
            </w:pPr>
            <w:r>
              <w:rPr>
                <w:rFonts w:hint="eastAsia" w:ascii="宋体" w:hAnsi="宋体" w:cs="宋体"/>
                <w:color w:val="000000"/>
                <w:sz w:val="22"/>
                <w:szCs w:val="22"/>
                <w:shd w:val="clear" w:color="auto" w:fill="FFFFFF"/>
              </w:rPr>
              <w:t> </w:t>
            </w: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75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14:textFill>
                  <w14:solidFill>
                    <w14:schemeClr w14:val="tx1"/>
                  </w14:solidFill>
                </w14:textFill>
              </w:rPr>
              <w:t xml:space="preserve">6-2. </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《超限高层建筑工程抗震设防管理规定》</w:t>
            </w:r>
            <w:r>
              <w:rPr>
                <w:rFonts w:ascii="仿宋_GB2312" w:hAnsi="仿宋_GB2312" w:eastAsia="仿宋_GB2312" w:cs="仿宋_GB2312"/>
                <w:color w:val="000000" w:themeColor="text1"/>
                <w14:textFill>
                  <w14:solidFill>
                    <w14:schemeClr w14:val="tx1"/>
                  </w14:solidFill>
                </w14:textFill>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20</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建筑节能专项监督检查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40" w:lineRule="atLeast"/>
              <w:rPr>
                <w:rFonts w:ascii="仿宋_GB2312" w:hAnsi="仿宋_GB2312" w:eastAsia="仿宋_GB2312" w:cs="仿宋_GB2312"/>
              </w:rPr>
            </w:pPr>
            <w:r>
              <w:rPr>
                <w:rFonts w:hint="eastAsia" w:ascii="仿宋_GB2312" w:hAnsi="仿宋_GB2312" w:eastAsia="仿宋_GB2312" w:cs="仿宋_GB2312"/>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40" w:lineRule="atLeast"/>
              <w:rPr>
                <w:rFonts w:ascii="仿宋_GB2312" w:hAnsi="仿宋_GB2312" w:eastAsia="仿宋_GB2312" w:cs="仿宋_GB2312"/>
              </w:rPr>
            </w:pPr>
            <w:r>
              <w:rPr>
                <w:rFonts w:hint="eastAsia" w:ascii="仿宋_GB2312" w:hAnsi="仿宋_GB2312" w:eastAsia="仿宋_GB2312" w:cs="仿宋_GB2312"/>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40" w:lineRule="atLeast"/>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40" w:lineRule="atLeast"/>
              <w:rPr>
                <w:rFonts w:ascii="仿宋_GB2312" w:hAnsi="仿宋_GB2312" w:eastAsia="仿宋_GB2312" w:cs="仿宋_GB2312"/>
              </w:rPr>
            </w:pPr>
            <w:r>
              <w:rPr>
                <w:rFonts w:hint="eastAsia" w:ascii="仿宋_GB2312" w:hAnsi="仿宋_GB2312" w:eastAsia="仿宋_GB2312" w:cs="仿宋_GB2312"/>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4-1。【法律】同1-1。</w:t>
            </w:r>
          </w:p>
          <w:p>
            <w:pPr>
              <w:spacing w:line="240" w:lineRule="atLeast"/>
              <w:rPr>
                <w:rFonts w:ascii="仿宋_GB2312" w:hAnsi="仿宋_GB2312" w:eastAsia="仿宋_GB2312" w:cs="仿宋_GB2312"/>
              </w:rPr>
            </w:pPr>
            <w:r>
              <w:rPr>
                <w:rFonts w:hint="eastAsia" w:ascii="仿宋_GB2312" w:hAnsi="仿宋_GB2312" w:eastAsia="仿宋_GB2312" w:cs="仿宋_GB2312"/>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2</w:t>
            </w:r>
            <w:r>
              <w:rPr>
                <w:rFonts w:hint="eastAsia" w:ascii="仿宋_GB2312" w:hAnsi="仿宋_GB2312" w:eastAsia="仿宋_GB2312" w:cs="仿宋_GB2312"/>
                <w:snapToGrid w:val="0"/>
                <w:color w:val="000000"/>
                <w:lang w:val="en-US" w:eastAsia="zh-CN"/>
              </w:rPr>
              <w:t>1</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color w:val="00000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2</w:t>
            </w:r>
            <w:r>
              <w:rPr>
                <w:rFonts w:hint="eastAsia" w:ascii="仿宋_GB2312" w:hAnsi="仿宋_GB2312" w:eastAsia="仿宋_GB2312" w:cs="仿宋_GB2312"/>
                <w:snapToGrid w:val="0"/>
                <w:color w:val="000000"/>
                <w:lang w:val="en-US" w:eastAsia="zh-CN"/>
              </w:rPr>
              <w:t>2</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  《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4.同3。</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23</w:t>
            </w:r>
          </w:p>
        </w:tc>
        <w:tc>
          <w:tcPr>
            <w:tcW w:w="735" w:type="dxa"/>
            <w:vAlign w:val="center"/>
          </w:tcPr>
          <w:p>
            <w:pPr>
              <w:adjustRightInd w:val="0"/>
              <w:snapToGrid w:val="0"/>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对造价咨询企业和从业人员的监督检查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【部门规章】《工程造价咨询企业管理办法》（2006年3月22日建设部令第149号发布  根据2015年5月4日住建部令第24号第一次修正，根据2016年9月13日住建部令第32号第二次修正）第二十九条 县级以上地方人民政府建设主管部门、有关专业部门应当依照有关法律、法规和本办法的规定，对工程造价咨询企业从事工程造价咨询业务活动实施监督检查。</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1.告知责任：制定检查方案，内容包括检查和判定依据、主要检查项目、承检单位范围等。确定检查对象和方式，通知被检查单位；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2.检查责任：依法、依规进行详细的检查，有检查记录；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3.处理责任：检查结束后应按规定通报结果；依据相关法律法规对当事企业进行处罚；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4.监管责任：强化对工程勘察设计的质量监管；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5.法律法规规章规定应履行的其他责任。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1.【地方性法规】《广西壮族自治区建设工程造价管理办法》第三条 “县级以上建设行政主管部门负责本行政区域内的建设工程造价管理。自治区和设区的市建设工程造价管理机构负责建设工程造价管理的具体工作。”第十六条　“建设工程造价咨询企业和从业人员的计价活动，应当接受建设工程造价管理机构的监督检查。  建设工程造价管理机构应当加强建设工程造价员的管理工作。”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w:t>
            </w:r>
          </w:p>
        </w:tc>
        <w:tc>
          <w:tcPr>
            <w:tcW w:w="1515" w:type="dxa"/>
            <w:vAlign w:val="center"/>
          </w:tcPr>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w:t>
            </w:r>
            <w:r>
              <w:rPr>
                <w:rFonts w:hint="eastAsia" w:ascii="仿宋_GB2312" w:hAnsi="仿宋_GB2312" w:eastAsia="仿宋_GB2312" w:cs="仿宋_GB2312"/>
                <w:spacing w:val="-6"/>
                <w:sz w:val="20"/>
                <w:szCs w:val="20"/>
              </w:rPr>
              <w:t>的，行政机关及相关工作人员应承担相应的责任：</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5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6.【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24</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注册建造师的监督检查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【规章】《注册建造师管理规定》(建设部令第153号，自2007年3月1日起施行)第二十九条　县级以上人民政府建设主管部门和有关部门履行监督检查职责时，有权采取下列措施：（一）要求被检查人员出示注册证书；</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（二）要求被检查人员所在聘用单位提供有关人员签署的文件及相关业务文档；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（三）就有关问题询问签署文件的人员；</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（四）纠正违反有关法律、法规、本规定及工程标准规范的行为。</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1-1.【法律】《中华人民共和国行政许可法》第六十二条 行政机关可以对被许可人生产经营的产品依法进行抽样检查、检验、检测，对其生产经营场所依法进行实地检查。</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1-2.【规章】《注册建造师管理规定》(建设部令第153号，自2007年3月1日起施行)第二十七条：县级以上人民政府建设主管部门、其他有关部门应当依照有关法律、法规和本规定，对注册建造师的注册、执业和继续教育实施监督检查。</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2-1.【法律】《中华人民共和国行政处罚法》第三十七条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2-2.【规章】《注册建造师管理规定》(建设部令第153号，自2007年3月1日起施行)第二十九条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3.【规章】《注册建造师管理规定》(建设部令第153号，自2007年3月1日起施行)第三十条：注册建造师违法从事相关活动的，违法行为发生地县级以上地方人民政府建设主管部门或者其他有关部门应当依法查处，并将违法事实、处理结果告知注册机关；依法应当撤销注册的，应当将违法事实、处理建议及有关材料报注册机关。</w:t>
            </w:r>
          </w:p>
          <w:p>
            <w:pPr>
              <w:keepNext w:val="0"/>
              <w:keepLines w:val="0"/>
              <w:pageBreakBefore w:val="0"/>
              <w:widowControl w:val="0"/>
              <w:kinsoku/>
              <w:wordWrap/>
              <w:overflowPunct/>
              <w:topLinePunct w:val="0"/>
              <w:autoSpaceDE/>
              <w:autoSpaceDN/>
              <w:bidi w:val="0"/>
              <w:adjustRightInd w:val="0"/>
              <w:snapToGrid w:val="0"/>
              <w:spacing w:line="240" w:lineRule="exact"/>
              <w:ind w:firstLine="356"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pacing w:val="-11"/>
                <w:sz w:val="20"/>
                <w:szCs w:val="20"/>
              </w:rPr>
              <w:t>4.【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四）利用职务上的便利，收受他人财物或者其他好处的；（五）不依法履行监督管理职责或者监督不力，造成严重后果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Pr>
        <w:keepNext w:val="0"/>
        <w:keepLines w:val="0"/>
        <w:pageBreakBefore w:val="0"/>
        <w:widowControl/>
        <w:kinsoku/>
        <w:wordWrap/>
        <w:overflowPunct/>
        <w:topLinePunct w:val="0"/>
        <w:autoSpaceDE/>
        <w:autoSpaceDN/>
        <w:bidi w:val="0"/>
        <w:spacing w:line="200" w:lineRule="exact"/>
        <w:textAlignment w:val="auto"/>
        <w:rPr>
          <w:sz w:val="18"/>
          <w:szCs w:val="18"/>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序</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号</w:t>
            </w:r>
          </w:p>
        </w:tc>
        <w:tc>
          <w:tcPr>
            <w:tcW w:w="73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权力</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分类</w:t>
            </w:r>
          </w:p>
        </w:tc>
        <w:tc>
          <w:tcPr>
            <w:tcW w:w="70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项目</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名称</w:t>
            </w:r>
          </w:p>
        </w:tc>
        <w:tc>
          <w:tcPr>
            <w:tcW w:w="48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子</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项</w:t>
            </w:r>
          </w:p>
        </w:tc>
        <w:tc>
          <w:tcPr>
            <w:tcW w:w="329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实施</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依据</w:t>
            </w:r>
          </w:p>
        </w:tc>
        <w:tc>
          <w:tcPr>
            <w:tcW w:w="297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责任</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事项</w:t>
            </w:r>
          </w:p>
        </w:tc>
        <w:tc>
          <w:tcPr>
            <w:tcW w:w="495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责任事项依据</w:t>
            </w:r>
          </w:p>
        </w:tc>
        <w:tc>
          <w:tcPr>
            <w:tcW w:w="151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追责</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情形</w:t>
            </w:r>
          </w:p>
        </w:tc>
        <w:tc>
          <w:tcPr>
            <w:tcW w:w="4858"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追责情形</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依据</w:t>
            </w:r>
          </w:p>
        </w:tc>
        <w:tc>
          <w:tcPr>
            <w:tcW w:w="984"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权力调整意见</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及依据</w:t>
            </w:r>
          </w:p>
        </w:tc>
        <w:tc>
          <w:tcPr>
            <w:tcW w:w="40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备</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z w:val="18"/>
                <w:szCs w:val="18"/>
                <w:lang w:val="en-US" w:eastAsia="zh-CN"/>
              </w:rPr>
            </w:pPr>
            <w:r>
              <w:rPr>
                <w:rFonts w:hint="eastAsia" w:ascii="仿宋_GB2312" w:hAnsi="仿宋_GB2312" w:eastAsia="仿宋_GB2312" w:cs="仿宋_GB2312"/>
                <w:snapToGrid w:val="0"/>
                <w:color w:val="000000"/>
                <w:sz w:val="18"/>
                <w:szCs w:val="18"/>
                <w:lang w:val="en-US" w:eastAsia="zh-CN"/>
              </w:rPr>
              <w:t>25</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工程监理企业的监督检查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【规章】《工程监理企业资质管理规定》(建设部令第158号)第十九条：县级以上人民政府建设主管部门和其他有关部门应当依照有关法律、法规和本规定，加强对工程监理企业资质的监督管理。</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1-1.【法律】《中华人民共和国行政许可法》第六十二条 行政机关可以对被许可人生产经营的产品依法进行抽样检查、检验、检测，对其生产经营场所依法进行实地检查。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1-2.【规章】《工程监理企业资质管理规定》(建设部令第158号)第十九条：县级以上人民政府建设主管部门和其他有关部门应当依照有关法律、法规和本规定，加强对工程监理企业资质的监督管理。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2-2.【规章】《工程监理企业资质管理规定》(建设部令第158号)第二十条　建设主管部门履行监督检查职责时，有权采取下列措施：（一）要求被检查单位提供工程监理企业资质证书、注册监理工程师注册执业证书，有关工程监理业务的文档，有关质量管理、安全生产管理、档案管理等企业内部管理制度的文件；（二）进入被检查单位进行检查，查阅相关资料；（三）纠正违反有关法律、法规和本规定及有关规范和标准的行为。第二十一条　建设主管部门进行监督检查时，应当有两名以上监督检查人员参加，并出示执法证件，不得妨碍被检查单位的正常经营活动，不得索取或者收受财物、谋取其他利益。有关单位和个人对依法进行的监督检查应当协助与配合，不得拒绝或者阻挠。监督检查机关应当将监督检查的处理结果向社会公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3.【规章】《工程监理企业资质管理规定》(建设部令第158号)第二十二条　工程监理企业违法从事工程监理活动的，违法行为发生地的县级以上地方人民政府建设主管部门应当依法查处，并将违法事实、处理结果或处理建议及时报告该工程监理企业资质的许可机关。</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4.【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1.不履行或不正确履行职责，对造成或即将造成人防工程维护保养不符合要求的行为不予制止和有效处理的（机关纪委）；</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四）利用职务上的便利，收受他人财物或者其他好处的；（五）不依法履行监督管理职责或者监督不力，造成严重后果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保留</w:t>
            </w:r>
          </w:p>
        </w:tc>
        <w:tc>
          <w:tcPr>
            <w:tcW w:w="400" w:type="dxa"/>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26</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消防验收、备案的监督检查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法律】《中华人民共和国消防法》第五十六条：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1.【法律】《中华人民共和国行政许可法》第六十二条 行政机关可以对被许可人生产经营的产品依法进行抽样检查、检验、检测，对其生产经营场所依法进行实地检查。</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法律】《中华人民共和国消防法》第五十六条：住房和城乡建设主管部门、消防救援机构及其工作人员应当按照法定的职权和程序进行消防设计审查、消防验收、备案抽查和消防安全检查，做到公正、严格、文明、高效。</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产品质量监督、工商行政管理等其他有关行政主管部门的工作人员在消防工作中滥用职权、玩忽职守、徇私舞弊，尚不构成犯罪的，依法给予处分。</w:t>
            </w:r>
          </w:p>
          <w:p>
            <w:pPr>
              <w:adjustRightInd w:val="0"/>
              <w:snapToGrid w:val="0"/>
              <w:spacing w:line="25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第七十二条　违反本法规定，构成犯罪的，依法追究刑事责任。</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消防法》第七十一条：住房和城乡建设主管部门、消防救援机构的工作人员滥用职权、玩忽职守、徇私舞弊，有下列行为之一，尚不构成犯罪的，依法给予处分：（六）其他滥用职权、玩忽职守、徇私舞弊的行为。第七十二条：违反本法规定，构成犯罪的，依法追究刑事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27</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18"/>
                <w:szCs w:val="18"/>
              </w:rPr>
              <w:t>《广西壮族自治区民用建筑节能条例》实施情况监督检查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地方性法规】《广西壮族自治区民用建筑节能条例》（2016年广西壮族自治区人大常委会十二届第60号公告发布）第四条：县级以上人民政府建设主管部门负责民用建筑节能监督管理工作，发展和改革、科学技术、财政、国土资源、环境保护、机关事务管理等部门按照各自职责负责民用建筑节能管理的相关工作。</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规范性文件】《自治区住房城乡建设厅、发展改革委、工业和信息化委、科技厅、财政厅、国土资源厅、环境保护厅、机关事务管理局、法制办关于贯彻落实&lt;广西壮族自治区民用建筑节能条例&gt;的通知》（桂建科〔2016〕29号）：（七）加大监管执法力度。各地住房城乡建设主管部门要切实履行民用建筑节能监督管理职责，加大监管力度，严格规范行政区域内从规划、设计、施工、监理到使用和监督管理全过程的建筑节能活动。进一步加大执法力度，对违反建筑节能相关法律、法规及强制性标准要求的行为进行处罚，确保《条例》各项规定及要求落到实处。各地住房城乡建设、发展改革、工业和信息化、科技、财政、国土资源、环境保护、机关事务管理、法制等有关部门要加强学习，认真履行《条例》赋予的职责，加强本行政区域内民用建筑节能监督管理工作，建立建筑节能工作管理体系和协调机制，明确工作重点，制定工作计划，认真贯彻实施《条例》各项相关规定和要求。</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2．检查责任：根据检查方案，组织专家组，依据相关的法律法规规章文件要求，通过检查资料、现场抽查等方式开展监督检查（检查时，执法人员不得少于2人）；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4．监督责任：对《广西壮族自治区民用建筑节能条例》执行情况进行动态跟踪监督；</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第三十四条：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6.【法律】《中华人民共和国节约能源法》第八十六条：国家工作人员在节能管理工作中滥用职权、玩忽职守、徇私舞弊，构成犯罪的，依法追究刑事责任；尚不构成犯罪的，依法给予处分。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28</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绿色建筑发展情况监督检查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性法规】《广西壮族自治区民用建筑节能条例》（2016年广西壮族自治区人大常委会十二届第60号公告发布）第四条：县级以上人民政府建设主管部门负责民用建筑节能监督管理工作，发展和改革、科学技术、财政、国土资源、环境保护、机关事务管理等部门按照各自职责负责民用建筑节能管理的相关工作。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2.【国务院决定】《国务院办公厅关于转发发展改革委 住房城乡建设部绿色建筑行动方案的通知》（国办发〔2013〕1号）：（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规范性文件】《住房城乡建设部关于进一步规范绿色建筑评价管理工作的通知》（建科〔2017〕238号）：一、建立绿色建筑评价标识属地管理制度。绿色建筑评价标识实行属地管理，各省、自治区、直辖市及计划单列市、新疆生产建设兵团住房城乡建设主管部门负责本行政区域内一星、二星、三星级绿色建筑评价标识工作的组织实施和监督管理。</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4．监督责任：对下发整改意见书和执法意见书的绿色建筑工程项目进行跟踪监督；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地方性法规】《广西壮族自治区民用建筑节能条例》（2016年广西壮族自治区人大常委会十二届第60号公告发布）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2-3.【国务院决定】《国务院办公厅关于转发发展改革委 住房城乡建设部绿色建筑行动方案的通知》（国办发〔2013〕1号）：（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3.同2-1、2-2、2-3。</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4.同2-1、2-2、2-3。</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6.在监督检查过程中滥用职权、玩忽职守、徇私舞弊；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7.索取或者收受他人钱物，谋取不正当利益，发生腐败行为；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8.除以上追责情形外，其他违反法律法规规章的行为依法追究相应责任。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6.【法律】《中华人民共和国节约能源法》第八十六条：国家工作人员在节能管理工作中滥用职权、玩忽职守、徇私舞弊，构成犯罪的，依法追究刑事责任；尚不构成犯罪的，依法给予处分。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29</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自治区节能减排专项资金支持建筑节能项目专项监督检查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1．【法律】《中华人民共和国预算法》第九十条：政府各部门负责监督检查所属各单位的预算执行，及时向本级政府财政部门反映本部门预算执行情况，依法纠正违反预算的行为。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2．【规范性文件】《广西壮族自治区财政厅关于印发广西壮族自治区节能减排专项资金管理办法的通知》（桂财规〔2018〕4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2．检查责任：根据检查方案，组织专家组，依据相关的法律法规规章文件及规范性文件要求，通过检查资料、现场抽查等方式开展监督检查（检查时，执法人员不得少于2人）；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并对检查情况进行通报。被检查的单位和个人对检查结果有异议的，可向承检单位提出书面意见，否则视为承认检查结果。承检单位收到被检查单位和个人的书面意见后，应当作出书面答复，必要时应复检1次；</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4．监督责任：对自治区本级财政节能减排支持建筑节能工程项目进行动态跟踪监督，并实施绩效管理；</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预算法》（1994年主席令第二十一号公布，2014年主席令第十二号修改）第九十条：政府各部门负责监督检查所属各单位的预算执行，及时向本级政府财政部门反映本部门预算执行情况，依法纠正违反预算的行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规范性文件】《广西壮族自治区财政厅关于印发广西壮族自治区节能减排专项资金管理办法的通知》（桂财规〔2018〕4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4.同2-1、2-2。</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5.侵犯被检查对象合法权益（机关纪委）；</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6.在监督检查过程中滥用职权、玩忽职守、徇私舞弊；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8.除以上追责情形外，其他违反法律法规规章的行为依法追究相应责任。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规范性文件】《广西壮族自治区财政厅关于印发广西壮族自治区节能减排专项资金管理办法的通知》（桂财规〔2018〕4号）第十六条：监督检查和责任追究……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30</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对推广应用新型墙体材料和禁止使用粘土砖情况进行监督检查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1.【法律】《中华人民共和国循环经济促进法》第二十三条第三款 禁止损毁耕地烧砖。在国务院或者、省、自治区、直辖市人民政府规定的期限和区域内，禁止生产、销售和使用粘土砖。</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2.【地方性法规】《广西壮族自治区新型墙体材料促进条例》（2007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1．告知责任：制定检查方案，下发检查通知（暗访不通知）明确检查检查内容、组织安排、相关要求等。</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2．检查责任：根据检查方案，组织专人对相关单位或个人推广应用新型墙体材料和禁止使用粘土砖的情况进行检查。检查时，执法人员不得少于 2 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3．处理责任（自治区墙改站）：对检查中发现的问题，向社会公布检查处理结果，并依据相关法律法规对当事企业或个人进行处罚。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4．监管责任：强化对发展应用新型墙体材料和禁止使用粘土砖的监管。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1-2．【地方政府规章】《广西壮族自治区行政执法程序规定》（1997 年广西壮族自治区人民政府令第 13 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3.【地方性法规】《广西壮族自治区新型墙体材料促进条例》（2007 年 7 月 27 日广西壮族自治区人大常委会十届第 95 号公告）第二十三条 违反本条例第九条第一款、第二十一条第一款规定，建设单位未采用新型墙体材料的，由县级以上建设行政主管部门责令改正，无法改正的，按非新型墙体砖使用量，处以每立方米十元罚款。　第二十七条 违反本条例第十三条规定，建设单位或者个人未使用新型墙体材料而使用实心粘土砖的，由县级以上建设行政主管部门责令改正，无法改正的，按实心粘土砖使用量，处以每立方米十元罚款。　第二十九条 违反本条例第二十一条第一款规定，设计单位未采用新型墙体材料、施工单位未按照设计要求使用新型墙体材料、监理单位未把使用新型墙体材料的情况纳入监理范围的，由县级以上建设行政主管部门责令改正，无法改正的，分别处以一万元以上五万元以下的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4-1.【法律】《中华人民共和国循环经济促进法》第二十三条第三款 禁止损毁耕地烧砖。在国务院或者、省、自治区、直辖市人民政府规定的期限和区域内，禁止生产、销售和使用粘土砖。</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4-2.【地方性法规】同 1-1。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1.【法律】《中华人民共和国循环经济促进法》第二十三条第三款 禁止损毁耕地烧砖。在国务院或者、省、自治区、直辖市人民政府规定的期限和区域内，禁止生产、销售和使用粘土砖。</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2.【地方性法规】《广西壮族自治区新型墙体材料促进条例》（2007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人民防空工程质量监督</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十五条：人民防空主管部门负责组织修建的人民防空指挥工程、公用的人员掩蔽工程和疏散干道工程，由人民防空主管部门按照国家和自治区有关规定办理项目立项手续，并负责设计审查、质量监督、定额管理和竣工验收。第二十四条防空地下室所需的防护设备应当符合国家规定的标准，并在工程施工中同步安装到位。</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2.【政府规章】《广西壮族自治区人民防空工程建设与维护管理办法》（2013年广西壮族自治区人民政府令第86号公布）第十二条：人民防空工程防护功能的质量监督管理由人民防空主管部门负责，人民防空主管部门可以委托具有相应资质的工程质量监督机构具体实施。人民防空工程建设单位应当在领取建设工程施工许可证或者办理开工手续前，依法办理人民防空工程质量监督手续，接受工程质量监督检查。</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1.告知责任：制定人民防空工程质量监督检查方案，确定目标、对象和方式，公告或通知被检查人民防空工程的设计、施工、监理、施工图设计文件审查和防护设备生产及产品检测单位（暗访不通知）。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检查时，质量监督人员不得少于2人，应当持《质量监督告知书》或相关证件进行检查。检查所抽的人防工程项目应当以满足检查的需要数量为准，不得要求被抽查单位超数量提供；检查单位及其工作人员应当有详细的检查记录，严禁弄虚作假。</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3.处理责任：检查单位对检查的原始资料负有妥善保管的义务，不得涂改及遗失；</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4.监管责任：强化人防工程建设质量过程的监管。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5.其他法律法规规章文件规定应履行的责任 。</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1.【地方政府规章】《广西壮族自治区行政执法程序规定》（1997年自治区人民政府第８次常务会议通过）。第十九条 行政执法机关对相对人遵守法律、法规、规章的情况实施监督检查应遵守以下规定：（二）应告知相对人检查的目的、内容、要求、方法；</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2.【地方政府规章】《广西壮族自治区行政执法程序规定》（1997年自治区人民政府第８次常务会议通过）。第十九条 行政执法机关对相对人遵守法律、法规、规章的情况实施监督检查应遵守以下规定：（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3.【地方政府规章】《广西壮族自治区行政执法程序规定》（1997年自治区人民政府第８次常务会议通过）。第二十条 行政执法涉及收费的，收费的项目和标准必须有法律、法规、规章或者其他合法的依据，并领取当地物价部门核发的《广西壮族自治区行政事业性收费许可证》，实行亮证收费。收费必须开具自治区财政部门统一制发的收费票据。票据应加盖收费机关的印章，并由经办人签名或者盖章。第二十一条 行政执法机关要求相对人履行义务的，应制作书面通知书送达相对人。通知书应载明要求履行义务的目的、期限和所依据的法律、法规、规章名称及其条款和不履行义务的法律后果。要求相对人履行义务的期限应当合理。第二十二条 行政执法机关应将办理各种申请的条件、程序、期限和范围及其他相关情况向社会公开，并应建立受理申请登记制度。第二十五条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相对人申请之日起十五日内予以转报。批准机关对转报的事项应在接到转报材料之日起十五日内作出是否同意的决定，并通知转报机关，由转报机关通知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4.【地方政府规章】《广西壮族自治区行政执法程序规定》（1997年自治区人民政府第８次常务会议通过）。第六十八条 行政执法机关应根据法律、法规和规章的规定，建立健全相应的执法工作规则，保证具体执法行为合法、高效、有序。第七十条 县级以上人民政府应当加强对下级人民政府和所属行政执法机关行政执法活动的层级监督检查。监督检查主要采取下列方式进行：（一）受理并处理属于本级政府管辖范围内的行政执法投诉；（二）定期或不定期的行政执法检查；（三）重大具体行政行为的备案审查；（四）年度或者专题行政执法情况报告；（五）对重大行政违法案件或者执法情况的督查。县级以上人民政府实施层级监督检查，适用《广西壮族自治区政府法制监督规定》的规定。行政执法机关及其行政执法人员实施行政处罚中的违法、不当行为，按照《中华人民共和国行政处罚法》第七章的规定予以处理。第七十一条 行政执法机关应当建立健全对行政执法行为的监督制度。对上级行政机关交办的事项或者相对人的申诉、检举或者控告，行政执法机关应当及时认真办理，发现行政执法行为有错误的，应当主动改正。行政执法机关变更或者撤销原行政执法行为应当作出书面决定，变更或者撤销的决定，送达相对人时发生法律效力。</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5-1.【规范性文件】《广西壮族自治区人民防空行政执法监督检查和备案制度》（桂人防办字〔2004〕149号公布）第三条第（四）、（五）、（七）项 人民防空行政执法监督工作包括以下内容（人民防空行政许可监督检查制度另行制定）：（四）人民防空行政执法工作实施情况；（五）已发生的人民防空行政复议、行政诉讼案件进展和结案情况；（七）其他需要进行监督的人民防空行政执法工作情况。</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5-2.【规范性文件】《人民防空行政执法规定》（国人防办字〔1999〕第195号）第二十二条：人民防空主管部门应当建立行政执法监督检查制度。</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3.放弃、推诿、拖延、拒绝履行检查职责；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4.发现违法行为不依法制止、纠正；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5.侵犯被检查对象合法权益；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6.其他违反行政监督检查规定的情形。</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1.【政府规章】《广西壮族自治区行政过错责任追究办法》（2007年广西壮族自治区人民政府令第24号）第十一条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6-1.【规范性文件】《广西壮族自治区人民防空行政执法过错与错案责任追究制度》（桂人防办字〔2004〕149号公布）第六条　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　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　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6-2.【地方性法规】《广西壮族自治区实施〈中华人民共和国人民防空法〉办法》（1999年5月29日广西壮族自治区第九届人民代表大会常务委员会第十一次会议通过；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2016年11月30日广西壮族自治区第十二届人民代表大会常务委员会第二十六次会议修正）。第四十三条 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32</w:t>
            </w:r>
          </w:p>
        </w:tc>
        <w:tc>
          <w:tcPr>
            <w:tcW w:w="735" w:type="dxa"/>
            <w:vAlign w:val="center"/>
          </w:tcPr>
          <w:p>
            <w:pPr>
              <w:adjustRightInd w:val="0"/>
              <w:snapToGrid w:val="0"/>
              <w:spacing w:line="280" w:lineRule="exact"/>
              <w:jc w:val="both"/>
              <w:rPr>
                <w:rFonts w:hint="eastAsia" w:ascii="仿宋_GB2312" w:hAnsi="仿宋_GB2312" w:eastAsia="仿宋_GB2312" w:cs="仿宋_GB2312"/>
                <w:color w:val="auto"/>
                <w:lang w:eastAsia="zh-CN"/>
              </w:rPr>
            </w:pPr>
            <w:r>
              <w:rPr>
                <w:rFonts w:hint="eastAsia" w:ascii="仿宋_GB2312" w:hAnsi="仿宋_GB2312" w:eastAsia="仿宋_GB2312" w:cs="仿宋_GB2312"/>
                <w:snapToGrid w:val="0"/>
                <w:color w:val="auto"/>
              </w:rPr>
              <w:t>行政</w:t>
            </w:r>
            <w:r>
              <w:rPr>
                <w:rFonts w:hint="eastAsia" w:ascii="仿宋_GB2312" w:hAnsi="仿宋_GB2312" w:eastAsia="仿宋_GB2312" w:cs="仿宋_GB2312"/>
                <w:snapToGrid w:val="0"/>
                <w:color w:val="auto"/>
                <w:lang w:eastAsia="zh-CN"/>
              </w:rPr>
              <w:t>检查</w:t>
            </w:r>
          </w:p>
        </w:tc>
        <w:tc>
          <w:tcPr>
            <w:tcW w:w="705" w:type="dxa"/>
            <w:vAlign w:val="center"/>
          </w:tcPr>
          <w:p>
            <w:pPr>
              <w:spacing w:line="240" w:lineRule="exact"/>
              <w:jc w:val="both"/>
              <w:rPr>
                <w:rFonts w:ascii="仿宋_GB2312" w:hAnsi="仿宋_GB2312" w:eastAsia="仿宋_GB2312" w:cs="仿宋_GB2312"/>
                <w:snapToGrid w:val="0"/>
                <w:color w:val="auto"/>
              </w:rPr>
            </w:pPr>
            <w:r>
              <w:rPr>
                <w:rFonts w:hint="eastAsia" w:ascii="方正书宋_GBK" w:eastAsia="方正书宋_GBK"/>
                <w:color w:val="auto"/>
                <w:sz w:val="20"/>
                <w:szCs w:val="20"/>
              </w:rPr>
              <w:t>对市县历史文化名城名镇名村和历史文化街区保护规划执行情况检查监督</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auto"/>
              </w:rPr>
            </w:pPr>
            <w:r>
              <w:rPr>
                <w:rFonts w:hint="eastAsia" w:ascii="仿宋_GB2312" w:hAnsi="仿宋_GB2312" w:eastAsia="仿宋_GB2312" w:cs="仿宋_GB2312"/>
                <w:snapToGrid w:val="0"/>
                <w:color w:val="auto"/>
              </w:rPr>
              <w:t>无</w:t>
            </w:r>
          </w:p>
        </w:tc>
        <w:tc>
          <w:tcPr>
            <w:tcW w:w="3295" w:type="dxa"/>
            <w:vAlign w:val="top"/>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1.【法规】《历史文化名城名镇名村保护条例》（中华人民共和国国务院令第524号，2008年4月22日）第二十条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320" w:lineRule="exact"/>
              <w:rPr>
                <w:rFonts w:ascii="仿宋_GB2312" w:hAnsi="仿宋_GB2312" w:eastAsia="仿宋_GB2312" w:cs="仿宋_GB2312"/>
                <w:snapToGrid w:val="0"/>
                <w:color w:val="auto"/>
              </w:rPr>
            </w:pPr>
          </w:p>
        </w:tc>
        <w:tc>
          <w:tcPr>
            <w:tcW w:w="2970" w:type="dxa"/>
            <w:vAlign w:val="center"/>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1.告知责任：制定检查督查方案，下发检查督查通知（暗访不发通知）。</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2.检查责任：检查督查时，工作人员不得少于2人，应当持《检查督查通知书》或相关证件进行检查。</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3.处理责任：对检查督查中发现的一般性问题，应及时告知</w:t>
            </w:r>
            <w:r>
              <w:rPr>
                <w:rFonts w:hint="eastAsia" w:ascii="方正书宋_GBK" w:eastAsia="方正书宋_GBK"/>
                <w:color w:val="auto"/>
                <w:sz w:val="20"/>
                <w:szCs w:val="20"/>
                <w:lang w:eastAsia="zh-CN"/>
              </w:rPr>
              <w:t>当地政府</w:t>
            </w:r>
            <w:r>
              <w:rPr>
                <w:rFonts w:hint="eastAsia" w:ascii="方正书宋_GBK" w:eastAsia="方正书宋_GBK"/>
                <w:color w:val="auto"/>
                <w:sz w:val="20"/>
                <w:szCs w:val="20"/>
              </w:rPr>
              <w:t>或有关部门；对违反历史文化名城名镇名村保护规划及有关法规政策的重大问题，经报</w:t>
            </w:r>
            <w:r>
              <w:rPr>
                <w:rFonts w:hint="eastAsia" w:ascii="方正书宋_GBK" w:eastAsia="方正书宋_GBK"/>
                <w:color w:val="auto"/>
                <w:sz w:val="20"/>
                <w:szCs w:val="20"/>
                <w:lang w:eastAsia="zh-CN"/>
              </w:rPr>
              <w:t>柳州市政府</w:t>
            </w:r>
            <w:r>
              <w:rPr>
                <w:rFonts w:hint="eastAsia" w:ascii="方正书宋_GBK" w:eastAsia="方正书宋_GBK"/>
                <w:color w:val="auto"/>
                <w:sz w:val="20"/>
                <w:szCs w:val="20"/>
              </w:rPr>
              <w:t>同意后，由</w:t>
            </w:r>
            <w:r>
              <w:rPr>
                <w:rFonts w:hint="eastAsia" w:ascii="方正书宋_GBK" w:eastAsia="方正书宋_GBK"/>
                <w:color w:val="auto"/>
                <w:sz w:val="20"/>
                <w:szCs w:val="20"/>
                <w:lang w:eastAsia="zh-CN"/>
              </w:rPr>
              <w:t>柳州市</w:t>
            </w:r>
            <w:r>
              <w:rPr>
                <w:rFonts w:hint="eastAsia" w:ascii="方正书宋_GBK" w:eastAsia="方正书宋_GBK"/>
                <w:color w:val="auto"/>
                <w:sz w:val="20"/>
                <w:szCs w:val="20"/>
              </w:rPr>
              <w:t>住房</w:t>
            </w:r>
            <w:r>
              <w:rPr>
                <w:rFonts w:hint="eastAsia" w:ascii="方正书宋_GBK" w:eastAsia="方正书宋_GBK"/>
                <w:color w:val="auto"/>
                <w:sz w:val="20"/>
                <w:szCs w:val="20"/>
                <w:lang w:eastAsia="zh-CN"/>
              </w:rPr>
              <w:t>和</w:t>
            </w:r>
            <w:r>
              <w:rPr>
                <w:rFonts w:hint="eastAsia" w:ascii="方正书宋_GBK" w:eastAsia="方正书宋_GBK"/>
                <w:color w:val="auto"/>
                <w:sz w:val="20"/>
                <w:szCs w:val="20"/>
              </w:rPr>
              <w:t>城乡建设</w:t>
            </w:r>
            <w:r>
              <w:rPr>
                <w:rFonts w:hint="eastAsia" w:ascii="方正书宋_GBK" w:eastAsia="方正书宋_GBK"/>
                <w:color w:val="auto"/>
                <w:sz w:val="20"/>
                <w:szCs w:val="20"/>
                <w:lang w:eastAsia="zh-CN"/>
              </w:rPr>
              <w:t>局</w:t>
            </w:r>
            <w:r>
              <w:rPr>
                <w:rFonts w:hint="eastAsia" w:ascii="方正书宋_GBK" w:eastAsia="方正书宋_GBK"/>
                <w:color w:val="auto"/>
                <w:sz w:val="20"/>
                <w:szCs w:val="20"/>
              </w:rPr>
              <w:t>进行挂牌督办，并向</w:t>
            </w:r>
            <w:r>
              <w:rPr>
                <w:rFonts w:hint="eastAsia" w:ascii="方正书宋_GBK" w:eastAsia="方正书宋_GBK"/>
                <w:color w:val="auto"/>
                <w:sz w:val="20"/>
                <w:szCs w:val="20"/>
                <w:lang w:eastAsia="zh-CN"/>
              </w:rPr>
              <w:t>当地政府</w:t>
            </w:r>
            <w:r>
              <w:rPr>
                <w:rFonts w:hint="eastAsia" w:ascii="方正书宋_GBK" w:eastAsia="方正书宋_GBK"/>
                <w:color w:val="auto"/>
                <w:sz w:val="20"/>
                <w:szCs w:val="20"/>
              </w:rPr>
              <w:t>或者有关部门发送《督查意见书》。所在地政府及有关部门对《督查意见书》指出的问题，应及时向</w:t>
            </w:r>
            <w:r>
              <w:rPr>
                <w:rFonts w:hint="eastAsia" w:ascii="方正书宋_GBK" w:eastAsia="方正书宋_GBK"/>
                <w:color w:val="auto"/>
                <w:sz w:val="20"/>
                <w:szCs w:val="20"/>
                <w:lang w:eastAsia="zh-CN"/>
              </w:rPr>
              <w:t>市住建局</w:t>
            </w:r>
            <w:r>
              <w:rPr>
                <w:rFonts w:hint="eastAsia" w:ascii="方正书宋_GBK" w:eastAsia="方正书宋_GBK"/>
                <w:color w:val="auto"/>
                <w:sz w:val="20"/>
                <w:szCs w:val="20"/>
              </w:rPr>
              <w:t>督查组书面说明情况、提出整改措施，并逐项整改落实。造成重大损失和影响的案件，依法追究相关责任人责任。</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4.监管责任：对历史文化名城名镇名村和历史文化街区规划、建设等活动的监管。</w:t>
            </w:r>
          </w:p>
          <w:p>
            <w:pPr>
              <w:adjustRightInd w:val="0"/>
              <w:snapToGrid w:val="0"/>
              <w:spacing w:line="30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5.法律法规规章文件规定的其他应履行的责任。</w:t>
            </w:r>
          </w:p>
        </w:tc>
        <w:tc>
          <w:tcPr>
            <w:tcW w:w="4950" w:type="dxa"/>
            <w:vAlign w:val="center"/>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2-1.【法律】《中华人民共和国行政处罚法》第三十七条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2-2.【法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260" w:lineRule="exact"/>
              <w:ind w:firstLine="400" w:firstLineChars="200"/>
              <w:rPr>
                <w:rFonts w:hint="eastAsia" w:ascii="方正书宋_GBK" w:eastAsia="方正书宋_GBK"/>
                <w:color w:val="auto"/>
                <w:sz w:val="20"/>
                <w:szCs w:val="20"/>
              </w:rPr>
            </w:pP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3.同2-2。</w:t>
            </w:r>
          </w:p>
          <w:p>
            <w:pPr>
              <w:adjustRightInd w:val="0"/>
              <w:snapToGrid w:val="0"/>
              <w:spacing w:line="30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4.【法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tc>
        <w:tc>
          <w:tcPr>
            <w:tcW w:w="1515" w:type="dxa"/>
            <w:vAlign w:val="center"/>
          </w:tcPr>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1.没有法定或者规定依据实施检查；</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2.没有具体理由、事项、内容、对象实施检查；</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3.放弃、推诿、拖延、拒绝履行检查职责；</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4.发现违法行为不依法制止、纠正（；</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5.侵犯被检查对象合法权益；</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6.索取或者收受他人钱物，谋取不正当利益，发生腐败行为；</w:t>
            </w:r>
          </w:p>
          <w:p>
            <w:pPr>
              <w:adjustRightInd w:val="0"/>
              <w:snapToGrid w:val="0"/>
              <w:spacing w:line="26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5.同1。</w:t>
            </w:r>
          </w:p>
          <w:p>
            <w:pPr>
              <w:adjustRightInd w:val="0"/>
              <w:snapToGrid w:val="0"/>
              <w:spacing w:line="260" w:lineRule="exact"/>
              <w:ind w:firstLine="400" w:firstLineChars="200"/>
              <w:rPr>
                <w:rFonts w:ascii="仿宋_GB2312" w:hAnsi="仿宋_GB2312" w:eastAsia="仿宋_GB2312" w:cs="仿宋_GB2312"/>
                <w:color w:val="auto"/>
              </w:rPr>
            </w:pPr>
            <w:r>
              <w:rPr>
                <w:rFonts w:hint="eastAsia" w:ascii="方正书宋_GBK" w:eastAsia="方正书宋_GBK"/>
                <w:color w:val="auto"/>
                <w:sz w:val="20"/>
                <w:szCs w:val="20"/>
              </w:rPr>
              <w:t>6.【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top"/>
          </w:tcPr>
          <w:p>
            <w:pPr>
              <w:snapToGrid w:val="0"/>
              <w:spacing w:line="288" w:lineRule="auto"/>
              <w:rPr>
                <w:rFonts w:ascii="仿宋_GB2312" w:hAnsi="仿宋_GB2312" w:eastAsia="仿宋_GB2312" w:cs="仿宋_GB2312"/>
                <w:snapToGrid w:val="0"/>
                <w:color w:val="auto"/>
              </w:rPr>
            </w:pPr>
            <w:r>
              <w:rPr>
                <w:rFonts w:hint="eastAsia" w:ascii="仿宋_GB2312" w:hAnsi="仿宋_GB2312" w:eastAsia="仿宋_GB2312" w:cs="仿宋_GB2312"/>
                <w:snapToGrid w:val="0"/>
                <w:color w:val="auto"/>
                <w:lang w:eastAsia="zh-CN"/>
              </w:rPr>
              <w:t>新增</w:t>
            </w: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33</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公共租赁住房申请审核确认资格</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numPr>
                <w:ilvl w:val="0"/>
                <w:numId w:val="4"/>
              </w:num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34</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35</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2013年住房和城乡建设部令第13号公布，2015年住房和城乡建设部令第24号修改，2018年住房和城乡建设部令第46号修正）第五条：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p>
          <w:p>
            <w:pPr>
              <w:spacing w:line="240" w:lineRule="atLeast"/>
              <w:rPr>
                <w:rFonts w:ascii="仿宋_GB2312" w:hAnsi="仿宋_GB2312" w:eastAsia="仿宋_GB2312" w:cs="仿宋_GB2312"/>
              </w:rPr>
            </w:pPr>
            <w:r>
              <w:rPr>
                <w:rFonts w:hint="eastAsia" w:ascii="仿宋_GB2312" w:hAnsi="仿宋_GB2312" w:eastAsia="仿宋_GB2312" w:cs="仿宋_GB2312"/>
              </w:rPr>
              <w:t>审查机构是专门从事施工图审查业务，不以营利为目</w:t>
            </w:r>
            <w:bookmarkStart w:id="6" w:name="_GoBack"/>
            <w:bookmarkEnd w:id="6"/>
            <w:r>
              <w:rPr>
                <w:rFonts w:hint="eastAsia" w:ascii="仿宋_GB2312" w:hAnsi="仿宋_GB2312" w:eastAsia="仿宋_GB2312" w:cs="仿宋_GB2312"/>
              </w:rPr>
              <w:t>的的独立法人。</w:t>
            </w:r>
            <w:r>
              <w:rPr>
                <w:rFonts w:ascii="仿宋_GB2312" w:hAnsi="仿宋_GB2312" w:eastAsia="仿宋_GB2312" w:cs="仿宋_GB2312"/>
              </w:rPr>
              <w:br w:type="textWrapping"/>
            </w:r>
            <w:r>
              <w:rPr>
                <w:rFonts w:ascii="仿宋_GB2312" w:hAnsi="仿宋_GB2312" w:eastAsia="仿宋_GB2312" w:cs="仿宋_GB2312"/>
              </w:rPr>
              <w:t>　　省、自治区、直辖市人民政府住房城乡建设主管部门应当将审查机构名录报国务院住房城乡建设主管部门备案，并向社会公布。</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36</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w:t>
            </w:r>
            <w:r>
              <w:rPr>
                <w:rFonts w:hint="eastAsia" w:ascii="仿宋_GB2312" w:hAnsi="仿宋_GB2312" w:eastAsia="仿宋_GB2312" w:cs="仿宋_GB2312"/>
                <w:lang w:eastAsia="zh-CN"/>
              </w:rPr>
              <w:t>招标投标法</w:t>
            </w:r>
            <w:r>
              <w:rPr>
                <w:rFonts w:ascii="仿宋_GB2312" w:hAnsi="仿宋_GB2312" w:eastAsia="仿宋_GB2312" w:cs="仿宋_GB2312"/>
              </w:rPr>
              <w:t>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37</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建筑市场主体诚信信息确认</w:t>
            </w:r>
          </w:p>
        </w:tc>
        <w:tc>
          <w:tcPr>
            <w:tcW w:w="485" w:type="dxa"/>
            <w:vAlign w:val="center"/>
          </w:tcPr>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无</w:t>
            </w:r>
          </w:p>
        </w:tc>
        <w:tc>
          <w:tcPr>
            <w:tcW w:w="3295" w:type="dxa"/>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1.【规章】《建筑业企业资质管理规定》（2015年住房和城乡建设部令第22号，2018年12月住建部第45号令修正）第三十二条 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2.【规章】《电子招标投标办法》（2013年国家发展改革委等八部委第20号令）第三条 电子招标投标系统根据功能的不同，分为交易平台、公共服务平台和行政监督平台。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第四十三条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 【规章】《广西壮族自治区建筑市场诚信卡管理暂行办法》（桂建管[2013]17号）第二条  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容。</w:t>
            </w:r>
          </w:p>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第五条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1.受理阶段责任：一次性告知补正材料，依法受理或不予受理（不予受理的应当告知理由）。</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2.审查阶段责任：对申请材料进行审查；提出审查意见。</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3.决定阶段责任：对申请材料进行审核，决定是否通过。</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4.送达阶段责任：通过系统反馈审核是否通过；信息公开；</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5.事后监管责任：加强市场行为及工程质量安全情况的监管。</w:t>
            </w:r>
          </w:p>
          <w:p>
            <w:pPr>
              <w:adjustRightInd w:val="0"/>
              <w:snapToGrid w:val="0"/>
              <w:spacing w:line="240" w:lineRule="atLeast"/>
              <w:ind w:firstLine="440" w:firstLineChars="200"/>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6.法律法规规定的其他责任</w:t>
            </w:r>
          </w:p>
        </w:tc>
        <w:tc>
          <w:tcPr>
            <w:tcW w:w="4950" w:type="dxa"/>
            <w:vAlign w:val="center"/>
          </w:tcPr>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1.【规章】《广西壮族自治区建筑市场诚信卡管理暂行办法》（桂建管[2013]17号）</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6.其他法律法规</w:t>
            </w:r>
          </w:p>
        </w:tc>
        <w:tc>
          <w:tcPr>
            <w:tcW w:w="1515" w:type="dxa"/>
          </w:tcPr>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因不履行或不正确履行行政职责，有下列情形的行政机关及相关工作人员应承担相应的责任：</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 故意刁难申请人；</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 无故超期办理；</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 故意让虚假资料通过；</w:t>
            </w:r>
          </w:p>
          <w:p>
            <w:pPr>
              <w:adjustRightInd w:val="0"/>
              <w:snapToGrid w:val="0"/>
              <w:spacing w:line="32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4. 其他违反法律法规规定的行为。</w:t>
            </w:r>
          </w:p>
        </w:tc>
        <w:tc>
          <w:tcPr>
            <w:tcW w:w="4858" w:type="dxa"/>
          </w:tcPr>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1.广西壮族自治区行政过错责任追究办法（2007年4月17日广西壮族自治区人民政府第63次常务会议审议通过　2007年4月25日广西壮族自治区人民政府令第24号公布　自2007年6月1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2.同1</w:t>
            </w:r>
          </w:p>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3.同1</w:t>
            </w:r>
          </w:p>
          <w:p>
            <w:pPr>
              <w:adjustRightInd w:val="0"/>
              <w:snapToGrid w:val="0"/>
              <w:spacing w:line="32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3"/>
        <w:gridCol w:w="727"/>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2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83"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38</w:t>
            </w:r>
          </w:p>
        </w:tc>
        <w:tc>
          <w:tcPr>
            <w:tcW w:w="727" w:type="dxa"/>
            <w:vAlign w:val="center"/>
          </w:tcPr>
          <w:p>
            <w:pPr>
              <w:adjustRightInd w:val="0"/>
              <w:snapToGrid w:val="0"/>
              <w:spacing w:line="32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行政确认</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危旧房改住房改造项目确认</w:t>
            </w:r>
          </w:p>
        </w:tc>
        <w:tc>
          <w:tcPr>
            <w:tcW w:w="485" w:type="dxa"/>
          </w:tcPr>
          <w:p>
            <w:pPr>
              <w:adjustRightInd w:val="0"/>
              <w:snapToGrid w:val="0"/>
              <w:spacing w:line="320" w:lineRule="exact"/>
              <w:jc w:val="center"/>
              <w:rPr>
                <w:rFonts w:hint="eastAsia" w:ascii="仿宋_GB2312" w:hAnsi="仿宋_GB2312" w:eastAsia="仿宋_GB2312" w:cs="仿宋_GB2312"/>
                <w:snapToGrid w:val="0"/>
                <w:color w:val="000000"/>
              </w:rPr>
            </w:pPr>
          </w:p>
        </w:tc>
        <w:tc>
          <w:tcPr>
            <w:tcW w:w="3295" w:type="dxa"/>
          </w:tcPr>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广西壮族自治区危旧房改住房改造补充规定》“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p>
        </w:tc>
        <w:tc>
          <w:tcPr>
            <w:tcW w:w="2970"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1.受理责任：按照危旧房改住房改造项目确认申报登记事项条件、标准、审核申报材料是否齐全，是否符合条件，决定是否受理。</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2.审核责任：按照办理条件和标准，对符合条件的，在规定时限提出同意的审查意见；对不符合条件的，退回申报材料。</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3.登记责任：对符合条件办理危旧房改住房改造确认的项目，向申报单位出具危旧房改住房改造项目确认书。</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4.其他法律法规规章文件规定应履行的责任。</w:t>
            </w:r>
          </w:p>
        </w:tc>
        <w:tc>
          <w:tcPr>
            <w:tcW w:w="4950"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广西壮族自治区危旧房改住房改造补充规定》“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p>
        </w:tc>
        <w:tc>
          <w:tcPr>
            <w:tcW w:w="1515"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因不履行或不正确履行行政职责，有下列情形的，行政机关及相关工作人员应承担相应责任：</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供应对象审查不严格；</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建设管理不严格；</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不依法审批；</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资金使用不严格；5.以权谋私</w:t>
            </w:r>
          </w:p>
        </w:tc>
        <w:tc>
          <w:tcPr>
            <w:tcW w:w="4858"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《关于严明危旧房改住房改造工作纪律的通知》（桂纪发[2010]27号） “一 严格供应对象。还建住房和非建住房必须严格按照危旧房改住房改造政策规定的对象供应。符合条件的家庭只能享受一套非还建住房。二 严格建设管理。建设单位必须如实提供有关申请材料，严格按照有关部门的审批要求进行建设。三 严格依法审批。各有关部门必须依法办理危旧房改住房改造审批手续，不得玩忽职守、滥用职权。 四 严格资金使用。建设单位必须加强资金监管，专款专用，保证资金安全、合法使用，切实维护住房供应对象的合法权益。严禁违反规定使用财政资金或者单位资金在危旧房改住房改造中对职工家庭进行补助。五 严禁以权谋私。各级领导干部应按照《中国共产党党员领导干部廉洁从政若干准则》要求，严格遵守自治区危旧房改住房改造政策，清正廉洁、忠于职守。”</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39</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建筑施工安全文明标准化工地评审</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 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 【规范性文件】《关于发布新修订《广西壮族自治区建设工程施工安全文明标准化工地评选办法》的通知》（桂建质安协[2016]46号）第五条  安全文明工地评选活动由自治区住房和城乡建设厅负责指导，广西工程建设质量安全管理协会（以下简称广西质安协会）组织实施。</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4.【规章】《建筑业企业资质管理规定》（经第20次部常务会议审议通过，现予发布，自2015年3月1日起施行建设部令第22号，2018年12月住建部第45号令修正）第四十一条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40</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rPr>
              <w:t>柳州市优质工程奖评审</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192" w:type="dxa"/>
            <w:shd w:val="clear" w:color="auto" w:fill="auto"/>
            <w:vAlign w:val="center"/>
          </w:tcPr>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eastAsia="zh-CN"/>
              </w:rPr>
              <w:t>保留</w:t>
            </w:r>
          </w:p>
        </w:tc>
        <w:tc>
          <w:tcPr>
            <w:tcW w:w="387"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6"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41</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建设工程施工招标事项备案</w:t>
            </w:r>
          </w:p>
        </w:tc>
        <w:tc>
          <w:tcPr>
            <w:tcW w:w="4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1.【规章】《房屋建筑和市政基础设施工程施工招标投标管理办法》（2001年建设部令第89号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2001年5月31日发布施行，《住房城乡建设部关于修改&lt;房屋建筑和市政基础设施工程施工招标投标管理办法&gt;的决定》已经2018年9月19日第4次部常务会议审议通过，现予发布，自发布之日起施行）第十条　依法必须进行施工招标的工程，招标人自行办理施工招标事宜的，应当具有编制招标文件和组织评标的能力：　（一）有专门的施工招标组织机构；（二）有与工程规模、复杂程度相适应并具有同类工程施工招标经验、熟悉有关工程施工招标法律法规的工程技术、概预算及工程管理的专业人员。不具备上述条件的，招标人应当委托工程招标代理机构代理施工招标。</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ind w:firstLine="200" w:firstLineChars="100"/>
              <w:textAlignment w:val="auto"/>
              <w:rPr>
                <w:rFonts w:ascii="仿宋_GB2312" w:hAnsi="仿宋_GB2312" w:eastAsia="仿宋_GB2312" w:cs="仿宋_GB2312"/>
                <w:sz w:val="20"/>
              </w:rPr>
            </w:pPr>
            <w:r>
              <w:rPr>
                <w:rFonts w:hint="eastAsia" w:ascii="仿宋_GB2312" w:hAnsi="仿宋_GB2312" w:eastAsia="仿宋_GB2312" w:cs="仿宋_GB2312"/>
                <w:sz w:val="20"/>
              </w:rPr>
              <w:t>　第十一条　招标人自行办理施工招标事宜的，应当在发布招标公告或者发出投标邀请书的5日前，向工程所在地县级以上地方人民政府建设行政主管部门备案，并报送下列材料：（一）按照国家有关规定办理审批手续的各项批准文件；（二）本办法第十条所列条件的证明材料，包括专业技术人员的名单、职称证书或者执业资格证书及其工作经历的证明材料；（三）法律、法规、规章规定的其他材料。　招标人不具备自行办理施工招标事宜条件的，建设行政主管部门应当自收到备案材料之日起5日内责令招标人停止自行办理施工招标事宜。</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　第十八条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　　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仿宋_GB2312" w:eastAsia="仿宋_GB2312" w:cs="仿宋_GB2312"/>
              </w:rPr>
            </w:pPr>
            <w:r>
              <w:rPr>
                <w:rFonts w:hint="eastAsia" w:ascii="仿宋_GB2312" w:hAnsi="仿宋_GB2312" w:eastAsia="仿宋_GB2312" w:cs="仿宋_GB2312"/>
                <w:szCs w:val="21"/>
              </w:rPr>
              <w:t>2.【法律】《中华人民共和国招标投标法》（1999年8月30日主席令第二十一号）第四十七条 依法必须进行招标的项目，招标人应当自确定中标人之日起十五日内，向有关行政监督部门提交招标投标情况的书面报告。</w:t>
            </w:r>
          </w:p>
        </w:tc>
        <w:tc>
          <w:tcPr>
            <w:tcW w:w="2970" w:type="dxa"/>
            <w:shd w:val="clear" w:color="auto" w:fill="auto"/>
            <w:vAlign w:val="center"/>
          </w:tcPr>
          <w:p>
            <w:pPr>
              <w:adjustRightInd w:val="0"/>
              <w:snapToGrid w:val="0"/>
              <w:spacing w:line="220" w:lineRule="exact"/>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20" w:lineRule="exact"/>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20" w:lineRule="exact"/>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20" w:lineRule="exact"/>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20" w:lineRule="exact"/>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20"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42</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 xml:space="preserve"> 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44</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限价普通商品住房资格审查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rPr>
            </w:pPr>
            <w:r>
              <w:rPr>
                <w:rFonts w:hint="eastAsia" w:ascii="仿宋_GB2312" w:hAnsi="仿宋_GB2312" w:eastAsia="仿宋_GB2312" w:cs="仿宋_GB2312"/>
              </w:rPr>
              <w:t>3.【规范性文件】《柳州市限价商品住房管理办法》（柳政规〔2018〕43号）第二十一条：“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snapToGrid w:val="0"/>
              <w:spacing w:line="300" w:lineRule="exact"/>
              <w:ind w:firstLine="392" w:firstLineChars="196"/>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商品住房管理办法》（柳政规〔2018〕43号）第二十一条：“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p>
            <w:pPr>
              <w:snapToGrid w:val="0"/>
              <w:spacing w:line="300" w:lineRule="exact"/>
              <w:ind w:firstLine="392" w:firstLineChars="196"/>
              <w:rPr>
                <w:rFonts w:ascii="仿宋_GB2312" w:hAnsi="仿宋_GB2312" w:eastAsia="仿宋_GB2312" w:cs="仿宋_GB2312"/>
              </w:rPr>
            </w:pPr>
            <w:r>
              <w:rPr>
                <w:rFonts w:ascii="仿宋_GB2312" w:hAnsi="仿宋_GB2312" w:eastAsia="仿宋_GB2312" w:cs="仿宋_GB2312"/>
              </w:rPr>
              <w:t>“市住房和城乡建设委员会审核申请人的购房资格后，确定合格申请人名单，并根据申请人是否享有优先购买权，分为优先合格申请人和普通合格申请人两类。市住房和城乡建设委员会应将合格申请人名单通过网站等媒体向社会公示，公示期不少于5日，公示期满无异议或异议经审核不成立的合格申请人确认为有效购房申请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单位集资建房的项目方案审查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ind w:firstLine="400" w:firstLineChars="20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ind w:firstLine="400"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266" w:lineRule="exact"/>
              <w:ind w:firstLine="200" w:firstLineChars="100"/>
              <w:rPr>
                <w:rFonts w:ascii="仿宋_GB2312" w:hAnsi="仿宋_GB2312" w:eastAsia="仿宋_GB2312" w:cs="仿宋_GB2312"/>
              </w:rPr>
            </w:pPr>
            <w:r>
              <w:rPr>
                <w:rFonts w:hint="eastAsia" w:ascii="仿宋_GB2312" w:hAnsi="仿宋_GB2312" w:eastAsia="仿宋_GB2312" w:cs="仿宋_GB2312"/>
              </w:rPr>
              <w:t>1.【规章】《国务院关于解决城市低收入家庭住房困难的若干意见》（2007年8月7日，国发〔2007〕24号）：“四、 逐步改善其他住房困难群体的居住条件。”、“（十四） 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2.【规章】建设部《关于开展旧住宅区整治改造的指导意见》（2007年4月26日，建住房〔2007〕109号）：“四、 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3.【规范性文件】《广西壮族自治区人民政府关于印发&lt;广西壮族自治区危旧房改住房改造暂行办法&gt;的通知》（2009年2月10日，桂政发[2009]16号）“第二章 项目审批  第十条  当地住房制度改革委员会应当自收到建设单位申请之日起十个工作日内进行审查，提出意见后报上一级住房制度改革委员会审批。”</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4.【规范性文件】《广西壮族自治区人民政府办公厅关于加快实施全区大板结构住房改造工作的意见》（2011年5月10日，桂政办发[2011]75号）“第四章  第一条  对有大板结构住房的住宅区，有三分之二以上的产权人同意拆除改造的，由原土地使用权单位作出改造决定，向有关房改部门提出改造申请，有关房改部门应当按桂政发[2009]16号文件的规定进行审批。”</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 【规范性文件】《关于印发&lt;广西2013-2017年棚户区（危旧房）改造实施方案&gt;的通知》（2014年5月22日，桂保障[2014]1号）“第四章  第六条  鉴定为危房的砖混结构预制空心楼板住房改造项目可执行大板结构住房改造相关政策规定。”</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公有住房、集资房购买资格审查</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1.【规章】《国务院关于促进房地产市场持续健康发展的通知》（国发[2003]18号）：“（八）继续推进现有公房出售。”</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规范性文件】建设部《关于进一步推进现有公有住房改革的通知》（建住房[1999]209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spacing w:line="240" w:lineRule="exact"/>
              <w:jc w:val="center"/>
              <w:rPr>
                <w:rFonts w:ascii="仿宋_GB2312" w:hAnsi="仿宋_GB2312" w:eastAsia="仿宋_GB2312" w:cs="仿宋_GB2312"/>
              </w:rPr>
            </w:pPr>
            <w:r>
              <w:rPr>
                <w:rFonts w:hint="eastAsia" w:ascii="仿宋_GB2312" w:hAnsi="仿宋_GB2312" w:eastAsia="仿宋_GB2312" w:cs="仿宋_GB2312"/>
              </w:rPr>
              <w:t>3.【规范性文件】《广西壮族自治区经济适用住房管理办法》桂政发〔2009〕22号“第三十九条 单位集资合作建房是经济适用住房的组成部分，其建设标准、优惠政策、供应对象、产权关系等均参照经济适用住房的有关规定执行。”</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自治区人民政府办公厅关于大力促进房地产市场健康发展的指导意见》（桂政办发[2009]120号）“经市、县经济适用住房主管部门批准，允许单位无房职工家庭，以及已购房但住房面积未达规定面积标准的职工家庭在退出原住房后，按照职工应享受住房面积控制标准进行集资建房。”</w:t>
            </w:r>
          </w:p>
          <w:p>
            <w:pPr>
              <w:adjustRightInd w:val="0"/>
              <w:snapToGrid w:val="0"/>
              <w:spacing w:line="240" w:lineRule="exact"/>
              <w:rPr>
                <w:rFonts w:ascii="仿宋_GB2312" w:hAnsi="仿宋_GB2312" w:eastAsia="仿宋_GB2312" w:cs="仿宋_GB2312"/>
                <w:snapToGrid w:val="0"/>
              </w:rPr>
            </w:pP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40" w:lineRule="exact"/>
              <w:jc w:val="center"/>
              <w:rPr>
                <w:rFonts w:ascii="仿宋_GB2312" w:hAnsi="仿宋_GB2312" w:eastAsia="仿宋_GB2312" w:cs="仿宋_GB2312"/>
              </w:rPr>
            </w:pPr>
            <w:r>
              <w:rPr>
                <w:rFonts w:ascii="方正书宋_GBK" w:hAnsi="宋体" w:eastAsia="方正书宋_GBK" w:cs="宋体"/>
                <w:color w:val="000000"/>
              </w:rPr>
              <w:t>1</w:t>
            </w:r>
            <w:r>
              <w:rPr>
                <w:rFonts w:ascii="仿宋_GB2312" w:hAnsi="仿宋_GB2312" w:eastAsia="仿宋_GB2312" w:cs="仿宋_GB2312"/>
              </w:rPr>
              <w:t>.</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spacing w:line="240" w:lineRule="exact"/>
              <w:jc w:val="center"/>
              <w:rPr>
                <w:rFonts w:ascii="仿宋_GB2312" w:hAnsi="仿宋_GB2312" w:eastAsia="仿宋_GB2312" w:cs="仿宋_GB2312"/>
              </w:rPr>
            </w:pPr>
            <w:r>
              <w:rPr>
                <w:rFonts w:hint="eastAsia" w:ascii="仿宋_GB2312" w:hAnsi="仿宋_GB2312" w:eastAsia="仿宋_GB2312" w:cs="仿宋_GB2312"/>
              </w:rPr>
              <w:t>【规范性文件】《广西壮族自治区经济适用住房管理办法》桂政发〔2009〕22号“第三十九条 单位集资合作建房是经济适用住房的组成部分，其建设标准、优惠政策、供应对象、产权关系等均参照经济适用住房的有关规定执行。”</w:t>
            </w:r>
          </w:p>
          <w:p>
            <w:pPr>
              <w:adjustRightInd w:val="0"/>
              <w:snapToGrid w:val="0"/>
              <w:spacing w:line="240" w:lineRule="exact"/>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40" w:lineRule="exact"/>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40" w:lineRule="exact"/>
              <w:jc w:val="center"/>
              <w:rPr>
                <w:rFonts w:ascii="方正书宋_GBK" w:hAnsi="宋体" w:eastAsia="方正书宋_GBK" w:cs="宋体"/>
                <w:color w:val="000000"/>
              </w:rPr>
            </w:pPr>
            <w:r>
              <w:rPr>
                <w:rFonts w:hint="eastAsia" w:ascii="方正书宋_GBK" w:hAnsi="宋体" w:eastAsia="方正书宋_GBK" w:cs="宋体"/>
                <w:color w:val="000000"/>
              </w:rPr>
              <w:t>4.其他法律法规</w:t>
            </w:r>
          </w:p>
          <w:p>
            <w:pPr>
              <w:adjustRightInd w:val="0"/>
              <w:snapToGrid w:val="0"/>
              <w:spacing w:line="266"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spacing w:line="3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3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49</w:t>
            </w:r>
          </w:p>
        </w:tc>
        <w:tc>
          <w:tcPr>
            <w:tcW w:w="73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rPr>
              <w:t>住房补贴和工龄补贴事项审查</w:t>
            </w:r>
          </w:p>
        </w:tc>
        <w:tc>
          <w:tcPr>
            <w:tcW w:w="485" w:type="dxa"/>
            <w:vAlign w:val="center"/>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[1998]23号）：“（六）停止住房实物分配后，房价收入比（即本地区一套建筑面积为60平方米的经济适用住房的平均价格与双职工家庭年平均工资之比）在4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2.【规章】《广西壮族自治区关于进一步深化城镇住房制度改革加快住房建设实施办法》（桂政发[1998]63号）：“（七）停止住房实物分配后，对于房价收入比（即本地一套建筑面积为60平方米的经济适用住房的平均价格与双职工家庭年平均工资之比）在4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spacing w:line="280" w:lineRule="exact"/>
              <w:rPr>
                <w:rFonts w:ascii="仿宋_GB2312" w:hAnsi="仿宋_GB2312" w:eastAsia="仿宋_GB2312" w:cs="仿宋_GB2312"/>
                <w:snapToGrid w:val="0"/>
              </w:rPr>
            </w:pPr>
            <w:r>
              <w:rPr>
                <w:rFonts w:hint="eastAsia" w:ascii="仿宋_GB2312" w:hAnsi="仿宋_GB2312" w:eastAsia="仿宋_GB2312" w:cs="仿宋_GB2312"/>
              </w:rPr>
              <w:t>3.【规范性文件】《柳州市人民政府印发柳州市关于进一步深化城镇住房制度改革加快住房建设实施办法的通知》（柳政发[1999]92号）：“第二条　住房基准补贴的对象为无房户和住房面积未达到规定标准的职工（含离退休人员）。”</w:t>
            </w:r>
          </w:p>
        </w:tc>
        <w:tc>
          <w:tcPr>
            <w:tcW w:w="2970" w:type="dxa"/>
          </w:tcPr>
          <w:p>
            <w:pPr>
              <w:adjustRightInd w:val="0"/>
              <w:snapToGrid w:val="0"/>
              <w:spacing w:line="360"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spacing w:line="360"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spacing w:line="360"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60" w:lineRule="exact"/>
              <w:ind w:firstLine="300" w:firstLineChars="15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6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60" w:lineRule="exact"/>
              <w:rPr>
                <w:rFonts w:ascii="仿宋_GB2312" w:hAnsi="仿宋_GB2312" w:eastAsia="仿宋_GB2312" w:cs="仿宋_GB2312"/>
                <w:snapToGrid w:val="0"/>
              </w:rPr>
            </w:pPr>
          </w:p>
        </w:tc>
        <w:tc>
          <w:tcPr>
            <w:tcW w:w="1515" w:type="dxa"/>
            <w:vAlign w:val="center"/>
          </w:tcPr>
          <w:p>
            <w:pPr>
              <w:spacing w:line="3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3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36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jc w:val="cente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40"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4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对城市桥梁进行养护维修情况及城市桥梁施工控制范围内的施工作业情况的监督</w:t>
            </w:r>
          </w:p>
        </w:tc>
        <w:tc>
          <w:tcPr>
            <w:tcW w:w="48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color w:val="00000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Times New Roman"/>
              </w:rPr>
            </w:pPr>
            <w:r>
              <w:rPr>
                <w:rFonts w:ascii="仿宋_GB2312" w:hAnsi="仿宋_GB2312" w:eastAsia="仿宋_GB2312" w:cs="仿宋_GB2312"/>
              </w:rPr>
              <w:t xml:space="preserve">6. </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55</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56</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57</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58</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根据2004年7月31日广西壮族自治区第十届人民代表大会常务委员会第九次会议《关于修改〈广西壮族自治区建筑市场管理条例〉的决定》第三次修正“第十三条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numPr>
                <w:ilvl w:val="0"/>
                <w:numId w:val="10"/>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根据2004年7月31日广西壮族自治区第十届人民代表大会常务委员会第九次会议《关于修改〈广西壮族自治区建筑市场管理条例〉的决定》第三次修正)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同1</w:t>
            </w:r>
          </w:p>
          <w:p>
            <w:pPr>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spacing w:line="240" w:lineRule="exact"/>
              <w:jc w:val="center"/>
              <w:rPr>
                <w:rFonts w:ascii="仿宋_GB2312" w:hAnsi="仿宋_GB2312" w:eastAsia="仿宋_GB2312" w:cs="仿宋_GB2312"/>
                <w:snapToGrid w:val="0"/>
              </w:rPr>
            </w:pPr>
          </w:p>
        </w:tc>
        <w:tc>
          <w:tcPr>
            <w:tcW w:w="705" w:type="dxa"/>
            <w:vMerge w:val="continue"/>
            <w:vAlign w:val="center"/>
          </w:tcPr>
          <w:p>
            <w:pPr>
              <w:rPr>
                <w:rFonts w:ascii="仿宋_GB2312" w:hAnsi="仿宋_GB2312" w:eastAsia="仿宋_GB2312" w:cs="仿宋_GB2312"/>
              </w:rPr>
            </w:pP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依法必须进行招标项目因情况特殊可以不进行招标审批</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1.【规章】《中华人民共和国</w:t>
            </w:r>
            <w:r>
              <w:rPr>
                <w:rFonts w:hint="eastAsia" w:ascii="仿宋_GB2312" w:hAnsi="仿宋_GB2312" w:eastAsia="仿宋_GB2312" w:cs="仿宋_GB2312"/>
                <w:lang w:eastAsia="zh-CN"/>
              </w:rPr>
              <w:t>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rPr>
                <w:rFonts w:ascii="仿宋_GB2312" w:hAnsi="仿宋_GB2312" w:eastAsia="仿宋_GB2312" w:cs="仿宋_GB2312"/>
                <w:snapToGrid w:val="0"/>
              </w:rPr>
            </w:pPr>
          </w:p>
        </w:tc>
        <w:tc>
          <w:tcPr>
            <w:tcW w:w="4950" w:type="dxa"/>
          </w:tcPr>
          <w:p>
            <w:pPr>
              <w:shd w:val="clear" w:color="auto" w:fill="FFFFFF"/>
              <w:spacing w:line="360" w:lineRule="atLeast"/>
              <w:ind w:firstLine="480"/>
              <w:rPr>
                <w:rFonts w:ascii="Arial" w:hAnsi="Arial"/>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Align w:val="center"/>
          </w:tcPr>
          <w:p>
            <w:pPr>
              <w:spacing w:line="240" w:lineRule="exact"/>
              <w:jc w:val="center"/>
              <w:rPr>
                <w:rFonts w:ascii="仿宋_GB2312" w:hAnsi="仿宋_GB2312" w:eastAsia="仿宋_GB2312" w:cs="仿宋_GB2312"/>
                <w:snapToGrid w:val="0"/>
              </w:rPr>
            </w:pPr>
          </w:p>
        </w:tc>
        <w:tc>
          <w:tcPr>
            <w:tcW w:w="705" w:type="dxa"/>
            <w:vAlign w:val="center"/>
          </w:tcPr>
          <w:p>
            <w:pPr>
              <w:rPr>
                <w:rFonts w:ascii="仿宋_GB2312" w:hAnsi="仿宋_GB2312" w:eastAsia="仿宋_GB2312" w:cs="仿宋_GB2312"/>
              </w:rPr>
            </w:pP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依法必须进行招标项目的招标方式、招标组织形式等招标内容核准</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ind w:firstLine="400" w:firstLineChars="200"/>
              <w:rPr>
                <w:rFonts w:ascii="仿宋_GB2312" w:hAnsi="仿宋_GB2312" w:eastAsia="仿宋_GB2312" w:cs="仿宋_GB2312"/>
                <w:spacing w:val="8"/>
              </w:rPr>
            </w:pPr>
            <w:r>
              <w:rPr>
                <w:rFonts w:hint="eastAsia" w:ascii="仿宋_GB2312" w:hAnsi="仿宋_GB2312" w:eastAsia="仿宋_GB2312" w:cs="仿宋_GB2312"/>
                <w:snapToGrid w:val="0"/>
              </w:rPr>
              <w:t>2.</w:t>
            </w:r>
            <w:r>
              <w:rPr>
                <w:rFonts w:hint="eastAsia" w:ascii="仿宋_GB2312" w:hAnsi="仿宋_GB2312" w:eastAsia="仿宋_GB2312" w:cs="仿宋_GB2312"/>
              </w:rPr>
              <w:t>【规章】《广西壮族自治区实施〈中华人民共和国招标投标法〉办法》</w:t>
            </w:r>
            <w:r>
              <w:rPr>
                <w:rFonts w:hint="eastAsia" w:ascii="仿宋_GB2312" w:hAnsi="仿宋_GB2312" w:eastAsia="仿宋_GB2312" w:cs="仿宋_GB2312"/>
                <w:spacing w:val="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rPr>
                <w:rFonts w:ascii="仿宋_GB2312" w:hAnsi="仿宋_GB2312" w:eastAsia="仿宋_GB2312" w:cs="仿宋_GB2312"/>
                <w:spacing w:val="8"/>
              </w:rPr>
            </w:pPr>
            <w:r>
              <w:rPr>
                <w:rFonts w:hint="eastAsia" w:ascii="仿宋_GB2312" w:hAnsi="仿宋_GB2312" w:eastAsia="仿宋_GB2312" w:cs="仿宋_GB2312"/>
                <w:spacing w:val="8"/>
              </w:rPr>
              <w:t>）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同2</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同3</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其他法律法规</w:t>
            </w:r>
          </w:p>
          <w:p>
            <w:pPr>
              <w:adjustRightInd w:val="0"/>
              <w:snapToGrid w:val="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auto"/>
                <w:lang w:val="en-US" w:eastAsia="zh-CN"/>
              </w:rPr>
              <w:t>59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施工图设计文件审查情况备案（含勘察文件专项备案）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                                                                                       【规章】《住房和城乡建设部关于修改&lt;房屋建筑和市政基础设施工程施工图设计文件审查管理办法&gt;的决定 》(《住房和城乡建设部关于修改&lt;房屋建筑和市政基础设施工程施工图设计文件审查管理办法&gt;的决定》已经2018年12月13日第5次部常务会议审议通过，现予发布，自发布之日起施行。)二、将第十一条修改为“审查机构应当对施工图审查下列内容：（三）消防安全性；（四）人防工程（不含人防指挥工程）防护安全性；</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 规范性文件】《关于印发推行房屋建筑和市政基础设施工程施工图联合审查全面提质增效的实施意见的通知》（桂建发【2019】1号）二、（一）实行技术审查与行政审批分离。房屋建筑和市政基础设施工程实行消防设计审核、人防设计审查（不含人防指挥工程）的技术审查并入施工图设计文件审查，并委托一家审查机构实施。</w:t>
            </w:r>
          </w:p>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 规范性文件】《国务院关于优化建设工程防雷许可的决定》（国发〔2016〕39号）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color w:val="00000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60</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tcPr>
          <w:p>
            <w:pPr>
              <w:numPr>
                <w:ilvl w:val="0"/>
                <w:numId w:val="12"/>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3"/>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3"/>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61</w:t>
            </w:r>
          </w:p>
        </w:tc>
        <w:tc>
          <w:tcPr>
            <w:tcW w:w="735" w:type="dxa"/>
            <w:vAlign w:val="center"/>
          </w:tcPr>
          <w:p>
            <w:pPr>
              <w:adjustRightInd w:val="0"/>
              <w:snapToGrid w:val="0"/>
              <w:spacing w:line="286" w:lineRule="exact"/>
              <w:rPr>
                <w:rFonts w:hint="eastAsia"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hint="eastAsia" w:ascii="仿宋_GB2312" w:hAnsi="仿宋_GB2312" w:eastAsia="仿宋_GB2312" w:cs="仿宋_GB2312"/>
                <w:snapToGrid w:val="0"/>
                <w:color w:val="000000"/>
              </w:rPr>
            </w:pPr>
            <w:bookmarkStart w:id="2" w:name="OLE_LINK3"/>
            <w:r>
              <w:rPr>
                <w:rFonts w:hint="eastAsia" w:ascii="仿宋_GB2312" w:hAnsi="仿宋_GB2312" w:eastAsia="仿宋_GB2312" w:cs="仿宋_GB2312"/>
              </w:rPr>
              <w:t>民用建筑能效测评标识的实施和监督</w:t>
            </w:r>
            <w:bookmarkEnd w:id="2"/>
          </w:p>
        </w:tc>
        <w:tc>
          <w:tcPr>
            <w:tcW w:w="485" w:type="dxa"/>
            <w:vAlign w:val="center"/>
          </w:tcPr>
          <w:p>
            <w:pPr>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970" w:type="dxa"/>
            <w:vAlign w:val="center"/>
          </w:tcPr>
          <w:p>
            <w:pPr>
              <w:adjustRightInd w:val="0"/>
              <w:snapToGrid w:val="0"/>
              <w:spacing w:line="274" w:lineRule="exact"/>
              <w:ind w:firstLine="401" w:firstLineChars="200"/>
              <w:rPr>
                <w:rFonts w:hint="eastAsia"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74" w:lineRule="exact"/>
              <w:ind w:firstLine="401" w:firstLineChars="200"/>
              <w:rPr>
                <w:rFonts w:hint="eastAsia"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74" w:lineRule="exact"/>
              <w:ind w:firstLine="401" w:firstLineChars="200"/>
              <w:rPr>
                <w:rFonts w:hint="eastAsia"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提出审核结果，作出予以通过或不予通过决定，法定告知（不予通过的应当告知理由）；依法公示。</w:t>
            </w:r>
          </w:p>
          <w:p>
            <w:pPr>
              <w:adjustRightInd w:val="0"/>
              <w:snapToGrid w:val="0"/>
              <w:spacing w:line="274" w:lineRule="exact"/>
              <w:ind w:firstLine="401" w:firstLineChars="200"/>
              <w:rPr>
                <w:rFonts w:hint="eastAsia"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发放建筑能效测评标识证书和标志；信息公开。</w:t>
            </w:r>
          </w:p>
          <w:p>
            <w:pPr>
              <w:adjustRightInd w:val="0"/>
              <w:snapToGrid w:val="0"/>
              <w:spacing w:line="274" w:lineRule="exact"/>
              <w:ind w:firstLine="401" w:firstLineChars="200"/>
              <w:rPr>
                <w:rFonts w:hint="eastAsia"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加强用能单位能耗监测力度；规范第三方能耗测评机构管理制度；加强监督管理，查处违规行为。</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6．其他法律法规规章文件规定应履行的责任。</w:t>
            </w:r>
          </w:p>
        </w:tc>
        <w:tc>
          <w:tcPr>
            <w:tcW w:w="4950" w:type="dxa"/>
            <w:vAlign w:val="center"/>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1-2.【规范性文件】《民用建筑能效测评标识管理暂行办法》（建科〔2008〕80号）第九条  民用建筑能效测评分两个阶段进行：（一）建筑能效理论值…（二）建筑能效实测值…</w:t>
            </w:r>
          </w:p>
          <w:p>
            <w:pPr>
              <w:adjustRightInd w:val="0"/>
              <w:snapToGrid w:val="0"/>
              <w:spacing w:line="274" w:lineRule="exact"/>
              <w:ind w:firstLine="39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3-1.【规章】同2-2。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3-2.【规范性文件】《民用建筑能效测评标识管理暂行办法》（建科〔2008〕80号）第十二条  民用建筑能效测评标识的申请及发放分两个阶段进行：…</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4-3.【规章】同2-2。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4-4.【规范性文件】同3-2。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5-2.【规范性文件】《民用建筑能效测评标识管理暂行办法》（建科〔2008〕80号）第八条  建筑能效测评机构应在获得建设主管部门资格认定后，从事建筑能效测评活动，并对</w:t>
            </w:r>
            <w:r>
              <w:rPr>
                <w:rFonts w:hint="eastAsia" w:ascii="仿宋_GB2312" w:hAnsi="仿宋_GB2312" w:eastAsia="仿宋_GB2312" w:cs="仿宋_GB2312"/>
                <w:spacing w:val="-2"/>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2.不履行或不正确履行业主委员会的备案权力，造成不良后果的。</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color w:val="000000"/>
              </w:rPr>
            </w:pPr>
            <w:r>
              <w:rPr>
                <w:rFonts w:hint="eastAsia" w:eastAsia="方正书宋_GBK"/>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62</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单位售房款使用</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ind w:firstLine="401" w:firstLineChars="200"/>
              <w:jc w:val="both"/>
              <w:rPr>
                <w:rFonts w:eastAsia="方正书宋_GBK"/>
              </w:rPr>
            </w:pPr>
            <w:r>
              <w:rPr>
                <w:rFonts w:eastAsia="方正书宋_GBK"/>
                <w:b/>
              </w:rPr>
              <w:t>1.</w:t>
            </w:r>
            <w:r>
              <w:rPr>
                <w:rFonts w:hint="eastAsia" w:eastAsia="方正书宋_GBK"/>
                <w:b/>
              </w:rPr>
              <w:t>受理责任：</w:t>
            </w:r>
            <w:r>
              <w:rPr>
                <w:rFonts w:hint="eastAsia" w:eastAsia="方正书宋_GBK"/>
              </w:rPr>
              <w:t>按照事项条件、标准、审核申报材料是否齐全、是否符合单位售房款使用的条件，决定是否受理。</w:t>
            </w:r>
          </w:p>
          <w:p>
            <w:pPr>
              <w:adjustRightInd w:val="0"/>
              <w:snapToGrid w:val="0"/>
              <w:ind w:firstLine="401" w:firstLineChars="200"/>
              <w:jc w:val="both"/>
              <w:rPr>
                <w:rFonts w:eastAsia="方正书宋_GBK"/>
              </w:rPr>
            </w:pPr>
            <w:r>
              <w:rPr>
                <w:rFonts w:eastAsia="方正书宋_GBK"/>
                <w:b/>
              </w:rPr>
              <w:t>2.</w:t>
            </w:r>
            <w:r>
              <w:rPr>
                <w:rFonts w:hint="eastAsia" w:eastAsia="方正书宋_GBK"/>
                <w:b/>
              </w:rPr>
              <w:t>审核责任：</w:t>
            </w:r>
            <w:r>
              <w:rPr>
                <w:rFonts w:hint="eastAsia" w:eastAsia="方正书宋_GBK"/>
              </w:rPr>
              <w:t>按照办理条件和标准，对符合条件的项目，提出同意的审查意见；对不符合条件的，退回申报材料。</w:t>
            </w:r>
          </w:p>
          <w:p>
            <w:pPr>
              <w:adjustRightInd w:val="0"/>
              <w:snapToGrid w:val="0"/>
              <w:ind w:firstLine="401" w:firstLineChars="200"/>
              <w:jc w:val="both"/>
              <w:rPr>
                <w:rFonts w:eastAsia="方正书宋_GBK"/>
              </w:rPr>
            </w:pPr>
            <w:r>
              <w:rPr>
                <w:rFonts w:eastAsia="方正书宋_GBK"/>
                <w:b/>
              </w:rPr>
              <w:t>3.</w:t>
            </w:r>
            <w:r>
              <w:rPr>
                <w:rFonts w:hint="eastAsia" w:eastAsia="方正书宋_GBK"/>
                <w:b/>
              </w:rPr>
              <w:t>登记责任：</w:t>
            </w:r>
            <w:r>
              <w:rPr>
                <w:rFonts w:hint="eastAsia" w:eastAsia="方正书宋_GBK"/>
              </w:rPr>
              <w:t>对符合单位售房款使用条件的单位，向申报单位出具同意使用售房款的书面文书。</w:t>
            </w:r>
          </w:p>
          <w:p>
            <w:pPr>
              <w:adjustRightInd w:val="0"/>
              <w:snapToGrid w:val="0"/>
              <w:spacing w:line="320" w:lineRule="exact"/>
              <w:ind w:firstLine="400" w:firstLineChars="200"/>
              <w:jc w:val="both"/>
              <w:rPr>
                <w:rFonts w:ascii="仿宋_GB2312" w:hAnsi="仿宋_GB2312" w:eastAsia="仿宋_GB2312" w:cs="仿宋_GB2312"/>
                <w:snapToGrid w:val="0"/>
                <w:color w:val="000000"/>
              </w:rPr>
            </w:pPr>
            <w:r>
              <w:rPr>
                <w:rFonts w:eastAsia="方正书宋_GBK"/>
              </w:rPr>
              <w:t>4.</w:t>
            </w:r>
            <w:r>
              <w:rPr>
                <w:rFonts w:hint="eastAsia" w:eastAsia="方正书宋_GBK"/>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color w:val="000000"/>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符合法定条件的未受理、未办理的，不符合法定条件受理办理的。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在审查监管中失职、渎职的。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在备案中有接受宴请、钱物等腐败行为的。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其他法律法规规章文件规定应履行的责任。</w:t>
            </w:r>
          </w:p>
        </w:tc>
        <w:tc>
          <w:tcPr>
            <w:tcW w:w="4858" w:type="dxa"/>
            <w:vAlign w:val="center"/>
          </w:tcPr>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 xml:space="preserve"> 1.</w:t>
            </w:r>
            <w:r>
              <w:rPr>
                <w:rFonts w:hint="eastAsia" w:ascii="仿宋_GB2312" w:hAnsi="仿宋_GB2312" w:eastAsia="仿宋_GB2312" w:cs="仿宋_GB2312"/>
                <w:color w:val="000000"/>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同</w:t>
            </w:r>
            <w:r>
              <w:rPr>
                <w:rFonts w:ascii="仿宋_GB2312" w:hAnsi="仿宋_GB2312" w:eastAsia="仿宋_GB2312" w:cs="仿宋_GB2312"/>
                <w:color w:val="000000"/>
              </w:rPr>
              <w:t>1.</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color w:val="000000"/>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eastAsia="仿宋_GB2312"/>
                <w:snapToGrid w:val="0"/>
                <w:color w:val="000000"/>
                <w:sz w:val="24"/>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63</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燃气经营企业停业、歇业批准</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64</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65</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：受理登记申请，并告知申请人办理备案的相关事项。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numPr>
                <w:ilvl w:val="0"/>
                <w:numId w:val="14"/>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numPr>
                <w:ilvl w:val="0"/>
                <w:numId w:val="14"/>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5.其他法律法规</w:t>
            </w: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snapToGrid w:val="0"/>
              </w:rPr>
              <w:t>1.</w:t>
            </w:r>
            <w:r>
              <w:rPr>
                <w:rFonts w:hint="eastAsia" w:ascii="仿宋_GB2312" w:hAnsi="仿宋_GB2312" w:eastAsia="仿宋_GB2312" w:cs="仿宋_GB2312"/>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rPr>
              <w:t>，给予开除处分.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836"/>
        <w:gridCol w:w="2944"/>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序</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号</w:t>
            </w:r>
          </w:p>
        </w:tc>
        <w:tc>
          <w:tcPr>
            <w:tcW w:w="73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分类</w:t>
            </w:r>
          </w:p>
        </w:tc>
        <w:tc>
          <w:tcPr>
            <w:tcW w:w="70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项目</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名称</w:t>
            </w:r>
          </w:p>
        </w:tc>
        <w:tc>
          <w:tcPr>
            <w:tcW w:w="83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子</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w:t>
            </w:r>
          </w:p>
        </w:tc>
        <w:tc>
          <w:tcPr>
            <w:tcW w:w="2944"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实施</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297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事项</w:t>
            </w:r>
          </w:p>
        </w:tc>
        <w:tc>
          <w:tcPr>
            <w:tcW w:w="495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责任事项依据</w:t>
            </w:r>
          </w:p>
        </w:tc>
        <w:tc>
          <w:tcPr>
            <w:tcW w:w="151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情形</w:t>
            </w:r>
          </w:p>
        </w:tc>
        <w:tc>
          <w:tcPr>
            <w:tcW w:w="4858"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追责情形</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984"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权力调整意见</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及依据</w:t>
            </w:r>
          </w:p>
        </w:tc>
        <w:tc>
          <w:tcPr>
            <w:tcW w:w="40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备</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66</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836" w:type="dxa"/>
            <w:vAlign w:val="center"/>
          </w:tcPr>
          <w:p>
            <w:pPr>
              <w:spacing w:line="220" w:lineRule="exact"/>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施工起重机械和整体提升脚手架、模板等自升式架设设施验收合格登记</w:t>
            </w:r>
          </w:p>
        </w:tc>
        <w:tc>
          <w:tcPr>
            <w:tcW w:w="2944" w:type="dxa"/>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第三十五条第三款“施工单位应当自施工起重机械和整体提升脚手架、模板等自升式架设设施验收合格之日起</w:t>
            </w:r>
            <w:r>
              <w:rPr>
                <w:rFonts w:ascii="仿宋_GB2312" w:hAnsi="仿宋_GB2312" w:eastAsia="仿宋_GB2312" w:cs="仿宋_GB2312"/>
              </w:rPr>
              <w:t>30</w:t>
            </w:r>
            <w:r>
              <w:rPr>
                <w:rFonts w:hint="eastAsia" w:ascii="仿宋_GB2312" w:hAnsi="仿宋_GB2312" w:eastAsia="仿宋_GB2312" w:cs="仿宋_GB2312"/>
              </w:rPr>
              <w:t>日内，向建设行政主管部门或者其他有关部门登记。登记标志应当置于或者附着于该设备的显著位置。”</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bCs/>
              </w:rPr>
              <w:t xml:space="preserve"> 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第三十五条第三款“施工单位应当自施工起重机械和整体提升脚手架、模板等自升式架设设施验收合格之日起</w:t>
            </w:r>
            <w:r>
              <w:rPr>
                <w:rFonts w:ascii="仿宋_GB2312" w:hAnsi="仿宋_GB2312" w:eastAsia="仿宋_GB2312" w:cs="仿宋_GB2312"/>
              </w:rPr>
              <w:t>30</w:t>
            </w:r>
            <w:r>
              <w:rPr>
                <w:rFonts w:hint="eastAsia" w:ascii="仿宋_GB2312" w:hAnsi="仿宋_GB2312" w:eastAsia="仿宋_GB2312" w:cs="仿宋_GB2312"/>
              </w:rPr>
              <w:t>日内，向建设行政主管部门或者其他有关部门登记。</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836" w:type="dxa"/>
            <w:vAlign w:val="center"/>
          </w:tcPr>
          <w:p>
            <w:pPr>
              <w:spacing w:line="2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建筑起重机械安装、拆卸告知</w:t>
            </w:r>
          </w:p>
        </w:tc>
        <w:tc>
          <w:tcPr>
            <w:tcW w:w="2944" w:type="dxa"/>
          </w:tcPr>
          <w:p>
            <w:pPr>
              <w:spacing w:line="220" w:lineRule="exact"/>
              <w:rPr>
                <w:rFonts w:ascii="仿宋_GB2312" w:hAnsi="仿宋_GB2312" w:eastAsia="仿宋_GB2312" w:cs="仿宋_GB2312"/>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)第十二条　安装单位应当履行下列安全职责：</w:t>
            </w:r>
          </w:p>
          <w:p>
            <w:pPr>
              <w:spacing w:line="220" w:lineRule="exact"/>
              <w:rPr>
                <w:rFonts w:ascii="仿宋_GB2312" w:hAnsi="仿宋_GB2312" w:eastAsia="仿宋_GB2312" w:cs="仿宋_GB2312"/>
              </w:rPr>
            </w:pPr>
            <w:r>
              <w:rPr>
                <w:rFonts w:ascii="仿宋_GB2312" w:hAnsi="仿宋_GB2312" w:eastAsia="仿宋_GB2312" w:cs="仿宋_GB2312"/>
              </w:rPr>
              <w:t>（一）按照安全技术标准及建筑起重机械性能要求，编制建筑起重机械安装、拆卸工程专项施工方案，并由本单位技术负责人签字；</w:t>
            </w:r>
          </w:p>
          <w:p>
            <w:pPr>
              <w:spacing w:line="220" w:lineRule="exact"/>
              <w:rPr>
                <w:rFonts w:ascii="仿宋_GB2312" w:hAnsi="仿宋_GB2312" w:eastAsia="仿宋_GB2312" w:cs="仿宋_GB2312"/>
              </w:rPr>
            </w:pPr>
            <w:r>
              <w:rPr>
                <w:rFonts w:ascii="仿宋_GB2312" w:hAnsi="仿宋_GB2312" w:eastAsia="仿宋_GB2312" w:cs="仿宋_GB2312"/>
              </w:rPr>
              <w:t>（二）按照安全技术标准及安装使用说明书等检查建筑起重机械及现场施工条件；</w:t>
            </w:r>
          </w:p>
          <w:p>
            <w:pPr>
              <w:spacing w:line="220" w:lineRule="exact"/>
              <w:rPr>
                <w:rFonts w:ascii="仿宋_GB2312" w:hAnsi="仿宋_GB2312" w:eastAsia="仿宋_GB2312" w:cs="仿宋_GB2312"/>
              </w:rPr>
            </w:pPr>
            <w:r>
              <w:rPr>
                <w:rFonts w:ascii="仿宋_GB2312" w:hAnsi="仿宋_GB2312" w:eastAsia="仿宋_GB2312" w:cs="仿宋_GB2312"/>
              </w:rPr>
              <w:t>（三）组织安全</w:t>
            </w:r>
            <w:r>
              <w:fldChar w:fldCharType="begin"/>
            </w:r>
            <w:r>
              <w:instrText xml:space="preserve"> HYPERLINK "https://baike.baidu.com/item/%E6%96%BD%E5%B7%A5%E6%8A%80%E6%9C%AF%E4%BA%A4%E5%BA%95/4674497" \t "https://baike.baidu.com/item/%E5%BB%BA%E7%AD%91%E8%B5%B7%E9%87%8D%E6%9C%BA%E6%A2%B0%E5%AE%89%E5%85%A8%E7%9B%91%E7%9D%A3%E7%AE%A1%E7%90%86%E8%A7%84%E5%AE%9A/_blank" </w:instrText>
            </w:r>
            <w:r>
              <w:fldChar w:fldCharType="separate"/>
            </w:r>
            <w:r>
              <w:rPr>
                <w:rFonts w:ascii="仿宋_GB2312" w:hAnsi="仿宋_GB2312" w:eastAsia="仿宋_GB2312" w:cs="仿宋_GB2312"/>
              </w:rPr>
              <w:t>施工技术交底</w:t>
            </w:r>
            <w:r>
              <w:rPr>
                <w:rFonts w:ascii="仿宋_GB2312" w:hAnsi="仿宋_GB2312" w:eastAsia="仿宋_GB2312" w:cs="仿宋_GB2312"/>
              </w:rPr>
              <w:fldChar w:fldCharType="end"/>
            </w:r>
            <w:r>
              <w:rPr>
                <w:rFonts w:ascii="仿宋_GB2312" w:hAnsi="仿宋_GB2312" w:eastAsia="仿宋_GB2312" w:cs="仿宋_GB2312"/>
              </w:rPr>
              <w:t>并签字确认；</w:t>
            </w:r>
          </w:p>
          <w:p>
            <w:pPr>
              <w:spacing w:line="220" w:lineRule="exact"/>
              <w:rPr>
                <w:rFonts w:ascii="仿宋_GB2312" w:hAnsi="仿宋_GB2312" w:eastAsia="仿宋_GB2312" w:cs="仿宋_GB2312"/>
              </w:rPr>
            </w:pPr>
            <w:r>
              <w:rPr>
                <w:rFonts w:ascii="仿宋_GB2312" w:hAnsi="仿宋_GB2312" w:eastAsia="仿宋_GB2312" w:cs="仿宋_GB2312"/>
              </w:rPr>
              <w:t>（四）制定建筑</w:t>
            </w:r>
            <w:r>
              <w:fldChar w:fldCharType="begin"/>
            </w:r>
            <w:r>
              <w:instrText xml:space="preserve"> HYPERLINK "https://baike.baidu.com/item/%E8%B5%B7%E9%87%8D%E6%9C%BA%E6%A2%B0/5608135" \t "https://baike.baidu.com/item/%E5%BB%BA%E7%AD%91%E8%B5%B7%E9%87%8D%E6%9C%BA%E6%A2%B0%E5%AE%89%E5%85%A8%E7%9B%91%E7%9D%A3%E7%AE%A1%E7%90%86%E8%A7%84%E5%AE%9A/_blank" </w:instrText>
            </w:r>
            <w:r>
              <w:fldChar w:fldCharType="separate"/>
            </w:r>
            <w:r>
              <w:rPr>
                <w:rFonts w:ascii="仿宋_GB2312" w:hAnsi="仿宋_GB2312" w:eastAsia="仿宋_GB2312" w:cs="仿宋_GB2312"/>
              </w:rPr>
              <w:t>起重机械</w:t>
            </w:r>
            <w:r>
              <w:rPr>
                <w:rFonts w:ascii="仿宋_GB2312" w:hAnsi="仿宋_GB2312" w:eastAsia="仿宋_GB2312" w:cs="仿宋_GB2312"/>
              </w:rPr>
              <w:fldChar w:fldCharType="end"/>
            </w:r>
            <w:r>
              <w:rPr>
                <w:rFonts w:ascii="仿宋_GB2312" w:hAnsi="仿宋_GB2312" w:eastAsia="仿宋_GB2312" w:cs="仿宋_GB2312"/>
              </w:rPr>
              <w:t>安装、拆卸工程</w:t>
            </w:r>
            <w:r>
              <w:fldChar w:fldCharType="begin"/>
            </w:r>
            <w:r>
              <w:instrText xml:space="preserve"> HYPERLINK "https://baike.baidu.com/item/%E7%94%9F%E4%BA%A7%E5%AE%89%E5%85%A8%E4%BA%8B%E6%95%85/7330952" \t "https://baike.baidu.com/item/%E5%BB%BA%E7%AD%91%E8%B5%B7%E9%87%8D%E6%9C%BA%E6%A2%B0%E5%AE%89%E5%85%A8%E7%9B%91%E7%9D%A3%E7%AE%A1%E7%90%86%E8%A7%84%E5%AE%9A/_blank" </w:instrText>
            </w:r>
            <w:r>
              <w:fldChar w:fldCharType="separate"/>
            </w:r>
            <w:r>
              <w:rPr>
                <w:rFonts w:ascii="仿宋_GB2312" w:hAnsi="仿宋_GB2312" w:eastAsia="仿宋_GB2312" w:cs="仿宋_GB2312"/>
              </w:rPr>
              <w:t>生产安全事故</w:t>
            </w:r>
            <w:r>
              <w:rPr>
                <w:rFonts w:ascii="仿宋_GB2312" w:hAnsi="仿宋_GB2312" w:eastAsia="仿宋_GB2312" w:cs="仿宋_GB2312"/>
              </w:rPr>
              <w:fldChar w:fldCharType="end"/>
            </w:r>
            <w:r>
              <w:fldChar w:fldCharType="begin"/>
            </w:r>
            <w:r>
              <w:instrText xml:space="preserve"> HYPERLINK "https://baike.baidu.com/item/%E5%BA%94%E6%80%A5%E6%95%91%E6%8F%B4%E9%A2%84%E6%A1%88/4933038" \t "https://baike.baidu.com/item/%E5%BB%BA%E7%AD%91%E8%B5%B7%E9%87%8D%E6%9C%BA%E6%A2%B0%E5%AE%89%E5%85%A8%E7%9B%91%E7%9D%A3%E7%AE%A1%E7%90%86%E8%A7%84%E5%AE%9A/_blank" </w:instrText>
            </w:r>
            <w:r>
              <w:fldChar w:fldCharType="separate"/>
            </w:r>
            <w:r>
              <w:rPr>
                <w:rFonts w:ascii="仿宋_GB2312" w:hAnsi="仿宋_GB2312" w:eastAsia="仿宋_GB2312" w:cs="仿宋_GB2312"/>
              </w:rPr>
              <w:t>应急救援预案</w:t>
            </w:r>
            <w:r>
              <w:rPr>
                <w:rFonts w:ascii="仿宋_GB2312" w:hAnsi="仿宋_GB2312" w:eastAsia="仿宋_GB2312" w:cs="仿宋_GB2312"/>
              </w:rPr>
              <w:fldChar w:fldCharType="end"/>
            </w:r>
            <w:r>
              <w:rPr>
                <w:rFonts w:ascii="仿宋_GB2312" w:hAnsi="仿宋_GB2312" w:eastAsia="仿宋_GB2312" w:cs="仿宋_GB2312"/>
              </w:rPr>
              <w:t>；</w:t>
            </w:r>
          </w:p>
          <w:p>
            <w:pPr>
              <w:spacing w:line="220" w:lineRule="exact"/>
              <w:rPr>
                <w:rFonts w:ascii="仿宋_GB2312" w:hAnsi="仿宋_GB2312" w:eastAsia="仿宋_GB2312" w:cs="仿宋_GB2312"/>
              </w:rPr>
            </w:pPr>
            <w:r>
              <w:rPr>
                <w:rFonts w:ascii="仿宋_GB2312" w:hAnsi="仿宋_GB2312" w:eastAsia="仿宋_GB2312" w:cs="仿宋_GB2312"/>
              </w:rPr>
              <w:t>（五）将建筑起重机械安装、拆卸工程专项</w:t>
            </w:r>
            <w:r>
              <w:fldChar w:fldCharType="begin"/>
            </w:r>
            <w:r>
              <w:instrText xml:space="preserve"> HYPERLINK "https://baike.baidu.com/item/%E6%96%BD%E5%B7%A5%E6%96%B9%E6%A1%88/745281" \t "https://baike.baidu.com/item/%E5%BB%BA%E7%AD%91%E8%B5%B7%E9%87%8D%E6%9C%BA%E6%A2%B0%E5%AE%89%E5%85%A8%E7%9B%91%E7%9D%A3%E7%AE%A1%E7%90%86%E8%A7%84%E5%AE%9A/_blank" </w:instrText>
            </w:r>
            <w:r>
              <w:fldChar w:fldCharType="separate"/>
            </w:r>
            <w:r>
              <w:rPr>
                <w:rFonts w:ascii="仿宋_GB2312" w:hAnsi="仿宋_GB2312" w:eastAsia="仿宋_GB2312" w:cs="仿宋_GB2312"/>
              </w:rPr>
              <w:t>施工方案</w:t>
            </w:r>
            <w:r>
              <w:rPr>
                <w:rFonts w:ascii="仿宋_GB2312" w:hAnsi="仿宋_GB2312" w:eastAsia="仿宋_GB2312" w:cs="仿宋_GB2312"/>
              </w:rPr>
              <w:fldChar w:fldCharType="end"/>
            </w:r>
            <w:r>
              <w:rPr>
                <w:rFonts w:ascii="仿宋_GB2312" w:hAnsi="仿宋_GB2312" w:eastAsia="仿宋_GB2312" w:cs="仿宋_GB2312"/>
              </w:rPr>
              <w:t>，安装、拆卸人员名单，安装、拆卸时间等材料报</w:t>
            </w:r>
            <w:r>
              <w:fldChar w:fldCharType="begin"/>
            </w:r>
            <w:r>
              <w:instrText xml:space="preserve"> HYPERLINK "https://baike.baidu.com/item/%E6%96%BD%E5%B7%A5%E6%80%BB%E6%89%BF%E5%8C%85/1858000" \t "https://baike.baidu.com/item/%E5%BB%BA%E7%AD%91%E8%B5%B7%E9%87%8D%E6%9C%BA%E6%A2%B0%E5%AE%89%E5%85%A8%E7%9B%91%E7%9D%A3%E7%AE%A1%E7%90%86%E8%A7%84%E5%AE%9A/_blank" </w:instrText>
            </w:r>
            <w:r>
              <w:fldChar w:fldCharType="separate"/>
            </w:r>
            <w:r>
              <w:rPr>
                <w:rFonts w:ascii="仿宋_GB2312" w:hAnsi="仿宋_GB2312" w:eastAsia="仿宋_GB2312" w:cs="仿宋_GB2312"/>
              </w:rPr>
              <w:t>施工总承包</w:t>
            </w:r>
            <w:r>
              <w:rPr>
                <w:rFonts w:ascii="仿宋_GB2312" w:hAnsi="仿宋_GB2312" w:eastAsia="仿宋_GB2312" w:cs="仿宋_GB2312"/>
              </w:rPr>
              <w:fldChar w:fldCharType="end"/>
            </w:r>
            <w:r>
              <w:rPr>
                <w:rFonts w:ascii="仿宋_GB2312" w:hAnsi="仿宋_GB2312" w:eastAsia="仿宋_GB2312" w:cs="仿宋_GB2312"/>
              </w:rPr>
              <w:t>单位和监理单位审核后，告知工程所在地县级以上地方人民政府建设主管部门。</w:t>
            </w:r>
          </w:p>
        </w:tc>
        <w:tc>
          <w:tcPr>
            <w:tcW w:w="2970" w:type="dxa"/>
          </w:tcPr>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1515"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p>
            <w:pPr>
              <w:spacing w:line="220" w:lineRule="exact"/>
              <w:jc w:val="center"/>
              <w:textAlignment w:val="center"/>
              <w:rPr>
                <w:rFonts w:ascii="仿宋_GB2312" w:hAnsi="仿宋_GB2312" w:eastAsia="仿宋_GB2312" w:cs="仿宋_GB2312"/>
                <w:snapToGrid w:val="0"/>
              </w:rPr>
            </w:pPr>
          </w:p>
          <w:p>
            <w:pPr>
              <w:spacing w:line="220" w:lineRule="exact"/>
              <w:jc w:val="center"/>
              <w:textAlignment w:val="center"/>
              <w:rPr>
                <w:rFonts w:ascii="仿宋_GB2312" w:hAnsi="仿宋_GB2312" w:eastAsia="仿宋_GB2312" w:cs="仿宋_GB2312"/>
                <w:snapToGrid w:val="0"/>
              </w:rPr>
            </w:pPr>
          </w:p>
          <w:p>
            <w:pPr>
              <w:spacing w:line="220" w:lineRule="exact"/>
              <w:jc w:val="center"/>
              <w:textAlignment w:val="center"/>
              <w:rPr>
                <w:rFonts w:ascii="仿宋_GB2312" w:hAnsi="仿宋_GB2312" w:eastAsia="仿宋_GB2312" w:cs="仿宋_GB2312"/>
                <w:color w:val="000000"/>
              </w:rPr>
            </w:pPr>
          </w:p>
        </w:tc>
        <w:tc>
          <w:tcPr>
            <w:tcW w:w="984"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W w:w="21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709"/>
        <w:gridCol w:w="2976"/>
        <w:gridCol w:w="3119"/>
        <w:gridCol w:w="4326"/>
        <w:gridCol w:w="2110"/>
        <w:gridCol w:w="4762"/>
        <w:gridCol w:w="992"/>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序</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号</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分类</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项目</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名称</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子</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w:t>
            </w:r>
          </w:p>
        </w:tc>
        <w:tc>
          <w:tcPr>
            <w:tcW w:w="297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实施</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311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事项</w:t>
            </w:r>
          </w:p>
        </w:tc>
        <w:tc>
          <w:tcPr>
            <w:tcW w:w="432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责任事项依据</w:t>
            </w:r>
          </w:p>
        </w:tc>
        <w:tc>
          <w:tcPr>
            <w:tcW w:w="211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情形</w:t>
            </w:r>
          </w:p>
        </w:tc>
        <w:tc>
          <w:tcPr>
            <w:tcW w:w="4762"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追责情形</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992"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权力调整意见</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及依据</w:t>
            </w:r>
          </w:p>
        </w:tc>
        <w:tc>
          <w:tcPr>
            <w:tcW w:w="57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备</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567" w:type="dxa"/>
            <w:vMerge w:val="restart"/>
            <w:vAlign w:val="center"/>
          </w:tcPr>
          <w:p>
            <w:pPr>
              <w:jc w:val="center"/>
            </w:pPr>
          </w:p>
        </w:tc>
        <w:tc>
          <w:tcPr>
            <w:tcW w:w="709"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9"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709" w:type="dxa"/>
          </w:tcPr>
          <w:p>
            <w:r>
              <w:t>3.</w:t>
            </w:r>
            <w:r>
              <w:rPr>
                <w:rFonts w:hint="eastAsia"/>
              </w:rPr>
              <w:t>建筑起重机械使用登记</w:t>
            </w:r>
          </w:p>
        </w:tc>
        <w:tc>
          <w:tcPr>
            <w:tcW w:w="2976" w:type="dxa"/>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3119" w:type="dxa"/>
          </w:tcPr>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326"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2110"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762"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92"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5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567" w:type="dxa"/>
            <w:vMerge w:val="continue"/>
          </w:tcPr>
          <w:p/>
        </w:tc>
        <w:tc>
          <w:tcPr>
            <w:tcW w:w="709" w:type="dxa"/>
            <w:vMerge w:val="continue"/>
            <w:vAlign w:val="center"/>
          </w:tcPr>
          <w:p/>
        </w:tc>
        <w:tc>
          <w:tcPr>
            <w:tcW w:w="709" w:type="dxa"/>
            <w:vMerge w:val="continue"/>
            <w:vAlign w:val="center"/>
          </w:tcPr>
          <w:p/>
        </w:tc>
        <w:tc>
          <w:tcPr>
            <w:tcW w:w="709" w:type="dxa"/>
          </w:tcPr>
          <w:p>
            <w:r>
              <w:t>4.</w:t>
            </w:r>
            <w:r>
              <w:rPr>
                <w:rFonts w:hint="eastAsia"/>
              </w:rPr>
              <w:t>建筑起重机械注销登记</w:t>
            </w:r>
          </w:p>
        </w:tc>
        <w:tc>
          <w:tcPr>
            <w:tcW w:w="2976" w:type="dxa"/>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3119" w:type="dxa"/>
          </w:tcPr>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326"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2110"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762"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92"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576" w:type="dxa"/>
          </w:tc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67</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3" w:name="OLE_LINK6"/>
            <w:r>
              <w:rPr>
                <w:rFonts w:hint="eastAsia" w:ascii="仿宋_GB2312" w:hAnsi="仿宋_GB2312" w:eastAsia="仿宋_GB2312" w:cs="仿宋_GB2312"/>
              </w:rPr>
              <w:t>《</w:t>
            </w:r>
            <w:bookmarkStart w:id="4" w:name="OLE_LINK5"/>
            <w:r>
              <w:rPr>
                <w:rFonts w:hint="eastAsia" w:ascii="仿宋_GB2312" w:hAnsi="仿宋_GB2312" w:eastAsia="仿宋_GB2312" w:cs="仿宋_GB2312"/>
              </w:rPr>
              <w:t>市政公用事业特许经营管理办法</w:t>
            </w:r>
            <w:bookmarkEnd w:id="4"/>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3"/>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color w:val="00000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68</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w:t>
            </w:r>
            <w:bookmarkStart w:id="5"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5"/>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70</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hint="default" w:ascii="仿宋_GB2312" w:hAnsi="仿宋_GB2312" w:eastAsia="仿宋_GB2312" w:cs="仿宋_GB2312"/>
                <w:color w:val="auto"/>
                <w:shd w:val="clear" w:color="auto" w:fill="FFFFFF"/>
              </w:rPr>
              <w:t>条例</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hint="default" w:ascii="仿宋_GB2312" w:hAnsi="仿宋_GB2312" w:eastAsia="仿宋_GB2312" w:cs="仿宋_GB2312"/>
                <w:color w:val="auto"/>
                <w:shd w:val="clear" w:color="auto" w:fill="FFFFFF"/>
              </w:rPr>
              <w:t>中华人民共和国</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color w:val="000000"/>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color w:val="00000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357"/>
        <w:gridCol w:w="2220"/>
        <w:gridCol w:w="4746"/>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35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2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72</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对城市供水水质、水压、设施维护的监管</w:t>
            </w:r>
          </w:p>
        </w:tc>
        <w:tc>
          <w:tcPr>
            <w:tcW w:w="485" w:type="dxa"/>
            <w:vAlign w:val="center"/>
          </w:tcPr>
          <w:p>
            <w:pPr>
              <w:spacing w:line="240" w:lineRule="exact"/>
              <w:jc w:val="cente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城市供水水压的监管</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color w:val="000000"/>
              </w:rPr>
            </w:pP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357"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220" w:type="dxa"/>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357"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220"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p>
            <w:pPr>
              <w:spacing w:line="240" w:lineRule="exact"/>
              <w:textAlignment w:val="center"/>
              <w:rPr>
                <w:rFonts w:ascii="仿宋_GB2312" w:hAnsi="仿宋_GB2312" w:eastAsia="仿宋_GB2312" w:cs="仿宋_GB2312"/>
              </w:rPr>
            </w:pP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73</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对公共租赁住房监督</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lef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1" w:firstLineChars="200"/>
              <w:jc w:val="both"/>
              <w:rPr>
                <w:rFonts w:ascii="仿宋_GB2312" w:hAnsi="仿宋_GB2312" w:eastAsia="仿宋_GB2312" w:cs="仿宋_GB2312"/>
                <w:snapToGrid w:val="0"/>
                <w:color w:val="00000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r>
              <w:rPr>
                <w:rFonts w:ascii="仿宋_GB2312" w:hAnsi="仿宋_GB2312" w:eastAsia="仿宋_GB2312" w:cs="仿宋_GB2312"/>
                <w:color w:val="000000"/>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color w:val="000000"/>
              </w:rPr>
              <w:t>《公共租赁住房管理办法》（</w:t>
            </w:r>
            <w:r>
              <w:rPr>
                <w:rFonts w:hint="eastAsia" w:ascii="仿宋_GB2312" w:hAnsi="仿宋_GB2312" w:eastAsia="仿宋_GB2312" w:cs="仿宋_GB2312"/>
              </w:rPr>
              <w:t>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color w:val="000000"/>
              </w:rPr>
              <w:t>）第三十三条住房城乡建设</w:t>
            </w:r>
            <w:r>
              <w:rPr>
                <w:rFonts w:ascii="仿宋_GB2312" w:hAnsi="仿宋_GB2312" w:eastAsia="仿宋_GB2312" w:cs="仿宋_GB2312"/>
                <w:color w:val="000000"/>
              </w:rPr>
              <w:t>(</w:t>
            </w:r>
            <w:r>
              <w:rPr>
                <w:rFonts w:hint="eastAsia" w:ascii="仿宋_GB2312" w:hAnsi="仿宋_GB2312" w:eastAsia="仿宋_GB2312" w:cs="仿宋_GB2312"/>
                <w:color w:val="000000"/>
              </w:rPr>
              <w:t>住房保障</w:t>
            </w:r>
            <w:r>
              <w:rPr>
                <w:rFonts w:ascii="仿宋_GB2312" w:hAnsi="仿宋_GB2312" w:eastAsia="仿宋_GB2312" w:cs="仿宋_GB2312"/>
                <w:color w:val="000000"/>
              </w:rPr>
              <w:t>)</w:t>
            </w:r>
            <w:r>
              <w:rPr>
                <w:rFonts w:hint="eastAsia" w:ascii="仿宋_GB2312" w:hAnsi="仿宋_GB2312" w:eastAsia="仿宋_GB2312" w:cs="仿宋_GB2312"/>
                <w:color w:val="000000"/>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color w:val="000000"/>
              </w:rPr>
              <w:t>;</w:t>
            </w:r>
            <w:r>
              <w:rPr>
                <w:rFonts w:hint="eastAsia" w:ascii="仿宋_GB2312" w:hAnsi="仿宋_GB2312" w:eastAsia="仿宋_GB2312" w:cs="仿宋_GB2312"/>
                <w:color w:val="000000"/>
              </w:rPr>
              <w:t>构成犯罪的，依法追究刑事责任。</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建筑工程发承包计价活动监督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颁发施工许可证后的监督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【规章】《建筑工程施工许可管理办法》(建设部令第18号,自2014年10月25日起施行，2018年9月住建部第42号令修正)第十一条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：强化对颁发施工许可证后的监管。</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1.【规章】《建筑工程施工许可管理办法》(建设部令第18号，自2014年10月25日起施行，2018年9月住建部第42号令修正)第十一条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2018年9月住建部第42号令修正)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ind w:firstLine="400" w:firstLineChars="200"/>
              <w:rPr>
                <w:rFonts w:ascii="仿宋_GB2312" w:hAnsi="仿宋_GB2312" w:eastAsia="仿宋_GB2312" w:cs="仿宋_GB2312"/>
                <w:color w:val="000000"/>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对检测机构的监督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color w:val="00000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w:t>
            </w:r>
            <w:r>
              <w:rPr>
                <w:rFonts w:hint="eastAsia" w:ascii="仿宋_GB2312" w:hAnsi="仿宋_GB2312" w:eastAsia="仿宋_GB2312" w:cs="仿宋_GB2312"/>
              </w:rPr>
              <w:t>，2018年9月住建部第42号令修正</w:t>
            </w:r>
            <w:r>
              <w:rPr>
                <w:rFonts w:hint="eastAsia" w:ascii="仿宋_GB2312" w:hAnsi="仿宋_GB2312" w:eastAsia="仿宋_GB2312" w:cs="仿宋_GB2312"/>
                <w:snapToGrid w:val="0"/>
              </w:rPr>
              <w:t>)第三条第三款“市、县人民政府建设主管部门负责对本行政区域内的质量检测活动实施监督管理。”第二十一条“县级以上地方人民政府建设主管部门应当加强对检测机构的监督检查”。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78</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建筑起重机械安全的监督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color w:val="00000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依法对散装水泥发展和应用情况进行监督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color w:val="00000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207"/>
        <w:gridCol w:w="2258"/>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20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4"/>
                <w:szCs w:val="24"/>
              </w:rPr>
            </w:pPr>
            <w:r>
              <w:rPr>
                <w:rFonts w:hint="eastAsia" w:asciiTheme="majorEastAsia" w:hAnsiTheme="majorEastAsia" w:eastAsiaTheme="majorEastAsia" w:cstheme="majorEastAsia"/>
                <w:b/>
                <w:bCs/>
                <w:snapToGrid w:val="0"/>
                <w:color w:val="000000"/>
                <w:sz w:val="24"/>
                <w:szCs w:val="24"/>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4"/>
                <w:szCs w:val="24"/>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80</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对建设领域中推广、限制或者禁止使用的民用建筑节能技术、工艺、材料、设备和产品的监督检查</w:t>
            </w:r>
          </w:p>
        </w:tc>
        <w:tc>
          <w:tcPr>
            <w:tcW w:w="48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4．监督责任：对全</w:t>
            </w:r>
            <w:r>
              <w:rPr>
                <w:rFonts w:hint="eastAsia" w:ascii="仿宋_GB2312" w:hAnsi="仿宋_GB2312" w:eastAsia="仿宋_GB2312" w:cs="仿宋_GB2312"/>
                <w:sz w:val="18"/>
                <w:szCs w:val="18"/>
                <w:lang w:eastAsia="zh-CN"/>
              </w:rPr>
              <w:t>市</w:t>
            </w:r>
            <w:r>
              <w:rPr>
                <w:rFonts w:hint="eastAsia" w:ascii="仿宋_GB2312" w:hAnsi="仿宋_GB2312" w:eastAsia="仿宋_GB2312" w:cs="仿宋_GB2312"/>
                <w:sz w:val="18"/>
                <w:szCs w:val="18"/>
              </w:rPr>
              <w:t>建设领域建筑活动中各有关单位对推广应用新成果和限用、禁用落后技术的执行情况进行监督管理；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5．法律法规规章文件规定的其他应履行的责任。</w:t>
            </w:r>
          </w:p>
        </w:tc>
        <w:tc>
          <w:tcPr>
            <w:tcW w:w="4207"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2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4．监督责任：对全区建设领域建筑活动中各有关单位对推广应用新成果和限用、禁用落后技术的执行情况进行监督管理；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5．法律法规规章文件规定的其他应履行的责任。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81</w:t>
            </w:r>
          </w:p>
        </w:tc>
        <w:tc>
          <w:tcPr>
            <w:tcW w:w="735" w:type="dxa"/>
            <w:vAlign w:val="center"/>
          </w:tcPr>
          <w:p>
            <w:pPr>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rPr>
              <w:t>其他行政权力</w:t>
            </w:r>
          </w:p>
        </w:tc>
        <w:tc>
          <w:tcPr>
            <w:tcW w:w="70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对开发建设单位维修资金交存情况进行的监督</w:t>
            </w:r>
          </w:p>
        </w:tc>
        <w:tc>
          <w:tcPr>
            <w:tcW w:w="48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无</w:t>
            </w:r>
          </w:p>
        </w:tc>
        <w:tc>
          <w:tcPr>
            <w:tcW w:w="329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jc w:val="left"/>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b/>
                <w:color w:val="000000"/>
              </w:rPr>
              <w:t>1.告知责任</w:t>
            </w:r>
            <w:r>
              <w:rPr>
                <w:rFonts w:hint="eastAsia" w:ascii="仿宋_GB2312" w:hAnsi="仿宋_GB2312" w:eastAsia="仿宋_GB2312" w:cs="仿宋_GB2312"/>
                <w:color w:val="000000"/>
              </w:rPr>
              <w:t>：制定检查方案，内容包括检查和判定依据、主要检查项目、承检范围等。</w:t>
            </w:r>
            <w:r>
              <w:rPr>
                <w:rFonts w:hint="eastAsia" w:ascii="仿宋_GB2312" w:hAnsi="仿宋_GB2312" w:eastAsia="仿宋_GB2312" w:cs="仿宋_GB2312"/>
                <w:color w:val="000000"/>
              </w:rPr>
              <w:br w:type="textWrapping"/>
            </w:r>
            <w:r>
              <w:rPr>
                <w:rStyle w:val="15"/>
                <w:rFonts w:hint="eastAsia" w:ascii="仿宋_GB2312" w:hAnsi="仿宋_GB2312" w:eastAsia="仿宋_GB2312" w:cs="仿宋_GB2312"/>
              </w:rPr>
              <w:t>2.检查责任：</w:t>
            </w:r>
            <w:r>
              <w:rPr>
                <w:rFonts w:hint="eastAsia" w:ascii="仿宋_GB2312" w:hAnsi="仿宋_GB2312" w:eastAsia="仿宋_GB2312" w:cs="仿宋_GB2312"/>
                <w:color w:val="000000"/>
              </w:rPr>
              <w:t>依法对房开企业行为进行现场检查等。依法对各市住宅专项维修资金的归集、使用和监督管理情况进行检查。</w:t>
            </w:r>
            <w:r>
              <w:rPr>
                <w:rFonts w:hint="eastAsia" w:ascii="仿宋_GB2312" w:hAnsi="仿宋_GB2312" w:eastAsia="仿宋_GB2312" w:cs="仿宋_GB2312"/>
                <w:color w:val="000000"/>
              </w:rPr>
              <w:br w:type="textWrapping"/>
            </w:r>
            <w:r>
              <w:rPr>
                <w:rStyle w:val="15"/>
                <w:rFonts w:hint="eastAsia" w:ascii="仿宋_GB2312" w:hAnsi="仿宋_GB2312" w:eastAsia="仿宋_GB2312" w:cs="仿宋_GB2312"/>
              </w:rPr>
              <w:t>3.督促整改责任</w:t>
            </w:r>
            <w:r>
              <w:rPr>
                <w:rFonts w:hint="eastAsia" w:ascii="仿宋_GB2312" w:hAnsi="仿宋_GB2312" w:eastAsia="仿宋_GB2312" w:cs="仿宋_GB2312"/>
                <w:color w:val="000000"/>
              </w:rPr>
              <w:t>：针对检查中发现的问题，提出整改措施。违反相关法律、法规和规章的，责令整改；逾期未整改的，转为行政处罚。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4.其他法律法规规章文件规定应履行的责任。</w:t>
            </w:r>
          </w:p>
        </w:tc>
        <w:tc>
          <w:tcPr>
            <w:tcW w:w="4950" w:type="dxa"/>
            <w:vAlign w:val="center"/>
          </w:tcPr>
          <w:p>
            <w:pP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4.其他法律法规</w:t>
            </w:r>
          </w:p>
        </w:tc>
        <w:tc>
          <w:tcPr>
            <w:tcW w:w="151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 xml:space="preserve">下列情形的，行政机关及相关工作人员应承担相应责任：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1.无法定依据或者超越法定权限实施检查的。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2.无具体理由、事项、内容实施检查或者不出示法定行政执法证件实施检查的。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3.违反法定程序实施检查的。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4.放弃、推诿、拖延、拒绝履行检查职责的。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5.对发现的违法行为不制止、不纠正的。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6.在检查和决定环节，徇私舞弊或者玩忽职守，对发现的行政相对人违法事实隐瞒不报或少报的.</w:t>
            </w:r>
          </w:p>
        </w:tc>
        <w:tc>
          <w:tcPr>
            <w:tcW w:w="4858" w:type="dxa"/>
            <w:vAlign w:val="center"/>
          </w:tcPr>
          <w:p>
            <w:pPr>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6.同4</w:t>
            </w:r>
          </w:p>
        </w:tc>
        <w:tc>
          <w:tcPr>
            <w:tcW w:w="984"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82</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color w:val="00000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对城镇污水集中处理设施运营情况的监督</w:t>
            </w:r>
          </w:p>
        </w:tc>
        <w:tc>
          <w:tcPr>
            <w:tcW w:w="485"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1"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6"/>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83</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sz w:val="21"/>
                <w:szCs w:val="21"/>
              </w:rPr>
              <w:t>房地产经纪机构备案</w:t>
            </w:r>
          </w:p>
        </w:tc>
        <w:tc>
          <w:tcPr>
            <w:tcW w:w="48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sz w:val="21"/>
                <w:szCs w:val="21"/>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vAlign w:val="center"/>
          </w:tcPr>
          <w:p>
            <w:pPr>
              <w:ind w:firstLine="393" w:firstLineChars="196"/>
              <w:rPr>
                <w:rFonts w:hint="eastAsia"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hint="eastAsia"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hint="eastAsia"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hint="eastAsia"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hint="eastAsia"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hint="eastAsia"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hint="eastAsia"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z w:val="21"/>
                <w:szCs w:val="21"/>
              </w:rPr>
              <w:t>【规章】《房地产经纪管理办法》（建设部、发改委、人社部令第8号）第十一条“房地产经纪机构及其分支机构应当自领取营业执照之日起30日内，当所在直辖市、市、县人民政府建设（房地产）主管部门备案。</w:t>
            </w:r>
          </w:p>
          <w:p>
            <w:pPr>
              <w:rPr>
                <w:rFonts w:hint="eastAsia" w:ascii="仿宋_GB2312" w:hAnsi="仿宋_GB2312" w:eastAsia="仿宋_GB2312" w:cs="仿宋_GB2312"/>
              </w:rPr>
            </w:pPr>
            <w:r>
              <w:rPr>
                <w:rFonts w:hint="eastAsia" w:ascii="仿宋_GB2312" w:hAnsi="仿宋_GB2312" w:eastAsia="仿宋_GB2312" w:cs="仿宋_GB2312"/>
              </w:rPr>
              <w:t>2.同1</w:t>
            </w:r>
          </w:p>
          <w:p>
            <w:pPr>
              <w:rPr>
                <w:rFonts w:hint="eastAsia" w:ascii="仿宋_GB2312" w:hAnsi="仿宋_GB2312" w:eastAsia="仿宋_GB2312" w:cs="仿宋_GB2312"/>
              </w:rPr>
            </w:pPr>
            <w:r>
              <w:rPr>
                <w:rFonts w:hint="eastAsia" w:ascii="仿宋_GB2312" w:hAnsi="仿宋_GB2312" w:eastAsia="仿宋_GB2312" w:cs="仿宋_GB2312"/>
              </w:rPr>
              <w:t>3.同1</w:t>
            </w:r>
          </w:p>
          <w:p>
            <w:pPr>
              <w:rPr>
                <w:rFonts w:hint="eastAsia" w:ascii="仿宋_GB2312" w:hAnsi="仿宋_GB2312" w:eastAsia="仿宋_GB2312" w:cs="仿宋_GB2312"/>
              </w:rPr>
            </w:pPr>
            <w:r>
              <w:rPr>
                <w:rFonts w:hint="eastAsia" w:ascii="仿宋_GB2312" w:hAnsi="仿宋_GB2312" w:eastAsia="仿宋_GB2312" w:cs="仿宋_GB2312"/>
              </w:rPr>
              <w:t>4.同1</w:t>
            </w:r>
          </w:p>
          <w:p>
            <w:pPr>
              <w:rPr>
                <w:rFonts w:hint="eastAsia" w:ascii="仿宋_GB2312" w:hAnsi="仿宋_GB2312" w:eastAsia="仿宋_GB2312" w:cs="仿宋_GB2312"/>
              </w:rPr>
            </w:pPr>
            <w:r>
              <w:rPr>
                <w:rFonts w:hint="eastAsia" w:ascii="仿宋_GB2312" w:hAnsi="仿宋_GB2312" w:eastAsia="仿宋_GB2312" w:cs="仿宋_GB2312"/>
              </w:rPr>
              <w:t>5.同1</w:t>
            </w:r>
          </w:p>
          <w:p>
            <w:pPr>
              <w:rPr>
                <w:rFonts w:hint="eastAsia"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hint="eastAsia" w:ascii="仿宋_GB2312" w:hAnsi="仿宋_GB2312" w:eastAsia="仿宋_GB2312" w:cs="仿宋_GB2312"/>
                <w:snapToGrid w:val="0"/>
                <w:color w:val="FF0000"/>
              </w:rPr>
            </w:pPr>
          </w:p>
        </w:tc>
        <w:tc>
          <w:tcPr>
            <w:tcW w:w="4858" w:type="dxa"/>
            <w:vAlign w:val="center"/>
          </w:tcPr>
          <w:p>
            <w:pPr>
              <w:numPr>
                <w:ilvl w:val="0"/>
                <w:numId w:val="8"/>
              </w:num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hint="eastAsia"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p/>
    <w:p/>
    <w:p/>
    <w:p/>
    <w:p/>
    <w:tbl>
      <w:tblPr>
        <w:tblStyle w:val="6"/>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84</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sz w:val="21"/>
                <w:szCs w:val="21"/>
              </w:rPr>
              <w:t>工程建设项目设计方案审查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numPr>
                <w:ilvl w:val="0"/>
                <w:numId w:val="15"/>
              </w:num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snapToGrid w:val="0"/>
              </w:rPr>
              <w:t>【规章】《建设工程勘察设计管理条例》（国务院令第293号）第五条“县级以上人民政府建设行政主管部门和交通、水利等有关部门应当依照本条例的规定，加强对建设工程勘察、设计活动的监督管理。”</w:t>
            </w:r>
          </w:p>
          <w:p>
            <w:pPr>
              <w:numPr>
                <w:ilvl w:val="0"/>
                <w:numId w:val="15"/>
              </w:num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规章】广西壮族自治区建设工程勘察设计管理条例（第二次修正）第二十二条第一款“工程勘察设计文件的编制应当按程序分阶段进行，达到国家有关工程勘察设计所规定的质量要求。”第三款“工程设计阶段分为初步设计阶段和施工图设计阶段，城市大型民用建筑工程及技术要求较高的中小型民用建筑、城市雕塑等还包括方案设计阶段。” </w:t>
            </w:r>
          </w:p>
          <w:p>
            <w:pPr>
              <w:adjustRightInd w:val="0"/>
              <w:snapToGrid w:val="0"/>
              <w:spacing w:line="240" w:lineRule="exact"/>
              <w:rPr>
                <w:rFonts w:ascii="仿宋_GB2312" w:hAnsi="仿宋_GB2312" w:eastAsia="仿宋_GB2312" w:cs="仿宋_GB2312"/>
                <w:snapToGrid w:val="0"/>
                <w:color w:val="00000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1.【规章】《广西壮族自治区实施《中华人民共和国城乡规划法》办法 》第十五条中“建设单位或者个人应当委托具有相应资质的规划设计单位依据规划条件编制修建性详细规划或者建设工程设计方案的总平面图，报所在地的人民政府城乡规划主管部门或者自治区人民政府确定的镇人民政府审定”，第三十六条中“建设工程设计方案按照以下规定进行编制和审定：建设单位或者个人向城乡规划主管部门或者自治区人民政府确定的镇人民政府提交书面申请、建设项目批复文件、使用土地的有关证明文件、地形图、经审定的修建性详细规划或者建设工程设计方案的总平面图等材料。……城乡规划主管部门或者自治区人民政府确定的镇人民政府审核建设工程设计方案报审成果及文件图纸后，对符合控制性详细规划、建设工程规划条件和国家有关规范、标准要求的，予以审定；对不符合要求的，不予审定，并书面说明理由” 。以上两条均明确建设工程设计方案应当按规定进行编制和审定。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2.符合法定备案条件的未受理、未办理的，不符合法定备案条件受理办理的。3.不履行或不正确履行备案权力，造成不良后果的。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4.在审查监管中失职、渎职的。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6.其他法律法规规章文件规定应履行的责任。</w:t>
            </w:r>
          </w:p>
          <w:p>
            <w:pPr>
              <w:numPr>
                <w:ilvl w:val="0"/>
                <w:numId w:val="8"/>
              </w:numPr>
              <w:adjustRightInd w:val="0"/>
              <w:snapToGrid w:val="0"/>
              <w:spacing w:line="320" w:lineRule="exact"/>
              <w:rPr>
                <w:rFonts w:ascii="仿宋_GB2312" w:hAnsi="仿宋_GB2312" w:eastAsia="仿宋_GB2312" w:cs="仿宋_GB2312"/>
                <w:snapToGrid w:val="0"/>
              </w:rPr>
            </w:pP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8"/>
        <w:gridCol w:w="727"/>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83"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2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83" w:type="dxa"/>
            <w:gridSpan w:val="2"/>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85</w:t>
            </w:r>
          </w:p>
        </w:tc>
        <w:tc>
          <w:tcPr>
            <w:tcW w:w="727" w:type="dxa"/>
            <w:vMerge w:val="restart"/>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房产交易资金监管</w:t>
            </w:r>
          </w:p>
        </w:tc>
        <w:tc>
          <w:tcPr>
            <w:tcW w:w="485" w:type="dxa"/>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存量房买卖交易资金监管</w:t>
            </w:r>
          </w:p>
        </w:tc>
        <w:tc>
          <w:tcPr>
            <w:tcW w:w="3295" w:type="dxa"/>
            <w:shd w:val="clear" w:color="auto" w:fill="auto"/>
            <w:vAlign w:val="center"/>
          </w:tcPr>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【法律】《中华人民共和国城市房地产管理法》 主席令第29号 第二条……本法所称房地产交易，包括房地产转让、房地产抵押和房屋租赁。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【规章】建设部《城市房地产转让管理规定》 建设部令第96号 第四条 国务院建设行政主管部门归口管理全国城市房地产转让工作。省、自治区、直辖市人民政府建设行政主管部门归口管理本行政区域内的城市房地产转让工作。直辖市、市、悬人民政府房地产行政主管部门(以下简称房地产管理部门)负责本行政区域内的城市房地产管理工作。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【规范性文件】《国土资源部 住房城乡建设部 关于做好不动产统一登记与房屋交易管理衔接的指导意见》 国土资发〔2015〕90号 第一 根据中央要求,房屋登记等不动产登记职责将统一整合到不动产登记机构,房屋交易管理职责继续由房产管理部门承担。第二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【规范性文件】住房和城乡建设部办公厅文件 建办房[2015]45号《房屋交易与产权管理工作导则》第四章存量房转让管理第4.1条：各地应积极利用网络技术，实行存量房转让合同网签。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务院办公厅关于促进房地产市场平稳健康发展的通知》国办发〔2010〕4号第三部分加强风险防范和市场监管第（七）点进一步建立健全新建商品房、存量房交易合同网上备案制度，加大交易资金监管力度。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【规范性文件】住房和城乡建设部文件 建房[2018]128号 《住房城乡建设部关于进一步规范和加强房屋网签备案工作的指导意见》第二点全面推行房屋网签备案制度第三条：实行房屋买卖合同网签备案制度。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【规范性文件】住房和城乡建设厅文件 桂建房[2019]4号《自治区住房和城乡建设厅关于印发全面推进房屋网签备案制度促进房地产市场平稳健康发展的实施方案的通知》第二点全面推行房屋网签备案制度、第五点加强配套制度建设。 </w:t>
            </w:r>
          </w:p>
          <w:p>
            <w:pPr>
              <w:spacing w:line="240" w:lineRule="atLeas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8、【规范性文件】住房和城乡建设部文件 《住房和城乡建设部关于印发房屋交易合同网签备案业务规范（试行）的通知》 建房规〔2019〕5号 ，《房屋交易合同网签备案业务规范》（试行）全文</w:t>
            </w:r>
          </w:p>
        </w:tc>
        <w:tc>
          <w:tcPr>
            <w:tcW w:w="2970" w:type="dxa"/>
            <w:shd w:val="clear" w:color="auto" w:fill="auto"/>
            <w:vAlign w:val="center"/>
          </w:tcPr>
          <w:p>
            <w:pPr>
              <w:adjustRightInd w:val="0"/>
              <w:snapToGrid w:val="0"/>
              <w:ind w:firstLine="360" w:firstLineChars="200"/>
              <w:rPr>
                <w:rFonts w:hint="eastAsia" w:ascii="仿宋_GB2312" w:hAnsi="仿宋_GB2312" w:eastAsia="仿宋_GB2312" w:cs="仿宋_GB2312"/>
                <w:sz w:val="18"/>
                <w:szCs w:val="18"/>
              </w:rPr>
            </w:pPr>
          </w:p>
          <w:p>
            <w:pPr>
              <w:adjustRightInd w:val="0"/>
              <w:snapToGrid w:val="0"/>
              <w:spacing w:line="240" w:lineRule="atLeast"/>
              <w:ind w:firstLine="361" w:firstLineChars="200"/>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1. 【规章】建设部《城市房地产转让管理规定》 建设部令第96号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adjustRightInd w:val="0"/>
              <w:snapToGrid w:val="0"/>
              <w:spacing w:line="240" w:lineRule="atLeast"/>
              <w:rPr>
                <w:rFonts w:hint="eastAsia" w:ascii="仿宋_GB2312" w:hAnsi="仿宋_GB2312" w:eastAsia="仿宋_GB2312" w:cs="仿宋_GB2312"/>
                <w:snapToGrid w:val="0"/>
                <w:color w:val="000000"/>
                <w:sz w:val="18"/>
                <w:szCs w:val="18"/>
              </w:rPr>
            </w:pPr>
          </w:p>
        </w:tc>
        <w:tc>
          <w:tcPr>
            <w:tcW w:w="1515"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snapToGrid w:val="0"/>
                <w:color w:val="000000"/>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1.同上</w:t>
            </w:r>
            <w:r>
              <w:rPr>
                <w:rFonts w:hint="eastAsia" w:ascii="仿宋_GB2312" w:hAnsi="仿宋_GB2312" w:eastAsia="仿宋_GB2312" w:cs="仿宋_GB2312"/>
                <w:snapToGrid w:val="0"/>
                <w:sz w:val="18"/>
                <w:szCs w:val="18"/>
              </w:rPr>
              <w:t>【规章】《行政机关公务员处分条例》（经2007年4月4日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83" w:type="dxa"/>
            <w:gridSpan w:val="2"/>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27" w:type="dxa"/>
            <w:vMerge w:val="continue"/>
            <w:shd w:val="clear" w:color="auto" w:fill="auto"/>
            <w:vAlign w:val="center"/>
          </w:tcPr>
          <w:p>
            <w:pPr>
              <w:spacing w:line="240" w:lineRule="exact"/>
              <w:jc w:val="center"/>
              <w:rPr>
                <w:rFonts w:ascii="仿宋_GB2312" w:hAnsi="仿宋_GB2312" w:eastAsia="仿宋_GB2312" w:cs="仿宋_GB2312"/>
              </w:rPr>
            </w:pPr>
          </w:p>
        </w:tc>
        <w:tc>
          <w:tcPr>
            <w:tcW w:w="705" w:type="dxa"/>
            <w:vMerge w:val="continue"/>
            <w:shd w:val="clear" w:color="auto" w:fill="auto"/>
            <w:vAlign w:val="center"/>
          </w:tcPr>
          <w:p>
            <w:pPr>
              <w:rPr>
                <w:rFonts w:asciiTheme="majorEastAsia" w:hAnsiTheme="majorEastAsia" w:eastAsiaTheme="majorEastAsia" w:cstheme="majorEastAsia"/>
                <w:sz w:val="18"/>
                <w:szCs w:val="18"/>
              </w:rPr>
            </w:pPr>
          </w:p>
        </w:tc>
        <w:tc>
          <w:tcPr>
            <w:tcW w:w="485" w:type="dxa"/>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存量房买卖房源核验</w:t>
            </w:r>
          </w:p>
        </w:tc>
        <w:tc>
          <w:tcPr>
            <w:tcW w:w="3295" w:type="dxa"/>
            <w:shd w:val="clear" w:color="auto" w:fill="auto"/>
            <w:vAlign w:val="center"/>
          </w:tcPr>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【规范性文件】住房城乡建设部办公厅文件 建办房[2015]45号《房屋交易与产权管理工作导则》第四章存量房转让管理第4.1条：各地应积极利用网络技术，实行存量房转让合同网签；第4.2（二）4.3（一）条：房源核验与购房资格审核。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七部委文件《住房城乡建设部等部门关于加强房地产中介管理促进行业健康发展的意见》建房〔2016〕168号第一部分规范中介机构服务行为（一）规范中介机构承接业务；（二）加强房源信息尽职调查；（三）加强房源信息发布管理；第二部分完善行业管理（七）提供便捷的房源和盐服务。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柳州市房地产市场调控工作领导小组办公室《关于执行柳州市房地产市场调控工作方案的通知》第四条加强商品房转让行为管理：对居民家庭或者个人在柳州市区购买第二套及以上住宅，其已购买的及新购买的住宅均需取得不动产登记证满2年后方可转让。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【规范性文件】中共广西壮族自治区委员会办公厅 厅发[2014]6号《自治区党委办公厅 自治区人民政府办公厅关于在全区开展干部职工违规多占住房清退专项整治活动的通知》；柳建房改字〔2018〕16号《关于规范我市房改房上市交易管理工作的通知》 </w:t>
            </w:r>
          </w:p>
          <w:p>
            <w:pPr>
              <w:spacing w:line="240" w:lineRule="exac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5、【规范性文件】住房和城乡建设部文件 《住房和城乡建设部关于印发房屋交易合同网签备案业务规范（试行）的通知》 建房规〔2019〕5号 ，《房屋交易合同网签备案业务规范》（试行）全文。</w:t>
            </w:r>
          </w:p>
        </w:tc>
        <w:tc>
          <w:tcPr>
            <w:tcW w:w="2970" w:type="dxa"/>
            <w:shd w:val="clear" w:color="auto" w:fill="auto"/>
            <w:vAlign w:val="center"/>
          </w:tcPr>
          <w:p>
            <w:pPr>
              <w:adjustRightInd w:val="0"/>
              <w:snapToGrid w:val="0"/>
              <w:spacing w:line="240" w:lineRule="atLeast"/>
              <w:ind w:firstLine="360" w:firstLineChars="200"/>
              <w:rPr>
                <w:rFonts w:hint="eastAsia" w:ascii="仿宋_GB2312" w:hAnsi="仿宋_GB2312" w:eastAsia="仿宋_GB2312" w:cs="仿宋_GB2312"/>
                <w:snapToGrid w:val="0"/>
                <w:color w:val="000000"/>
                <w:sz w:val="18"/>
                <w:szCs w:val="18"/>
              </w:rPr>
            </w:pPr>
          </w:p>
        </w:tc>
        <w:tc>
          <w:tcPr>
            <w:tcW w:w="4950" w:type="dxa"/>
            <w:shd w:val="clear" w:color="auto" w:fill="auto"/>
            <w:vAlign w:val="center"/>
          </w:tcPr>
          <w:p>
            <w:pPr>
              <w:adjustRightInd w:val="0"/>
              <w:snapToGrid w:val="0"/>
              <w:spacing w:line="240" w:lineRule="atLeas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：告知申请人办理房源核验的相关事项，受理房源核验材料。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3.决定责任：</w:t>
            </w:r>
            <w:r>
              <w:rPr>
                <w:rFonts w:hint="eastAsia" w:ascii="仿宋_GB2312" w:hAnsi="仿宋_GB2312" w:eastAsia="仿宋_GB2312" w:cs="仿宋_GB2312"/>
                <w:sz w:val="18"/>
                <w:szCs w:val="18"/>
              </w:rPr>
              <w:t>作出核验通过或不通过的决定，不通过的告知的理由，按时办结，依法告知。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1515" w:type="dxa"/>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adjustRightInd w:val="0"/>
              <w:snapToGrid w:val="0"/>
              <w:spacing w:line="360" w:lineRule="auto"/>
              <w:rPr>
                <w:rFonts w:hint="eastAsia" w:ascii="仿宋_GB2312" w:hAnsi="仿宋_GB2312" w:eastAsia="仿宋_GB2312" w:cs="仿宋_GB2312"/>
                <w:snapToGrid w:val="0"/>
                <w:color w:val="000000"/>
                <w:sz w:val="18"/>
                <w:szCs w:val="18"/>
              </w:rPr>
            </w:pPr>
          </w:p>
        </w:tc>
        <w:tc>
          <w:tcPr>
            <w:tcW w:w="4858"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color w:val="000000"/>
                <w:sz w:val="18"/>
                <w:szCs w:val="18"/>
              </w:rPr>
            </w:pPr>
          </w:p>
        </w:tc>
        <w:tc>
          <w:tcPr>
            <w:tcW w:w="984"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86</w:t>
            </w:r>
          </w:p>
        </w:tc>
        <w:tc>
          <w:tcPr>
            <w:tcW w:w="735" w:type="dxa"/>
            <w:gridSpan w:val="2"/>
            <w:vMerge w:val="restart"/>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房屋交易合同网签备案</w:t>
            </w:r>
          </w:p>
        </w:tc>
        <w:tc>
          <w:tcPr>
            <w:tcW w:w="485" w:type="dxa"/>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新建商品房买卖合同网签备案</w:t>
            </w:r>
          </w:p>
        </w:tc>
        <w:tc>
          <w:tcPr>
            <w:tcW w:w="3295" w:type="dxa"/>
          </w:tcPr>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1、【法律】《中华人民共和国合同法》、《中华人民共和国城市房地产管理法》第四章第四十五条：商品房预售人应当按照国家有关规定将预售合同报县级以上人民政府房产管理部门和土地管理部门备案。</w:t>
            </w:r>
          </w:p>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2、【法规】《城市房地产开发经营管理条例》第四章第二十六条：房地产开发企业应当自商品房预售合同签订之日起30日内，到商品房所在地的县级以上人民政府房地产开发主管部门和负责土地管理工作的部门备案。</w:t>
            </w:r>
          </w:p>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3、【规章】《城市商品房预售管理办法》第十条：商品预售，开发企业应当与承购人签订商品房预售合同。开发企业应当自签约之日起30日内，向房地产管理部门和市、县人民政府土地管理部门办理商品房预售合同登记备案手续。 </w:t>
            </w:r>
          </w:p>
          <w:p>
            <w:pPr>
              <w:adjustRightInd w:val="0"/>
              <w:snapToGrid w:val="0"/>
              <w:spacing w:line="257" w:lineRule="exact"/>
              <w:ind w:firstLine="360" w:firstLineChars="200"/>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4、【规范性文件】《房屋交易与产权管理工作导则》第三章新建商品房销售管理第3.3.1条：各地应利用网络信息技术，实行商品房预售合同网签备案。</w:t>
            </w:r>
          </w:p>
        </w:tc>
        <w:tc>
          <w:tcPr>
            <w:tcW w:w="2970" w:type="dxa"/>
            <w:vAlign w:val="center"/>
          </w:tcPr>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1【法律】《中华人民共和国城市房地产管理法》第四章第四十五条：商品房预售人应当按照国家有关规定将预售合同报县级以上人民政府房产管理部门和土地管理部门备案。</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规章】《城市商品房预售管理办法》第十条：商品预售，开发企业应当与承购人签订商品房预售合同。开发企业应当自签约之日起30日内，向房地产管理部门和市、县人民政府土地管理部门办理商品房预售合同登记备案手续。</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rPr>
                <w:rFonts w:hint="eastAsia" w:ascii="仿宋_GB2312" w:hAnsi="仿宋_GB2312" w:eastAsia="仿宋_GB2312" w:cs="仿宋_GB2312"/>
                <w:sz w:val="18"/>
                <w:szCs w:val="18"/>
              </w:rPr>
            </w:pPr>
          </w:p>
        </w:tc>
        <w:tc>
          <w:tcPr>
            <w:tcW w:w="1515" w:type="dxa"/>
            <w:vAlign w:val="center"/>
          </w:tcPr>
          <w:p>
            <w:pPr>
              <w:adjustRightInd w:val="0"/>
              <w:snapToGrid w:val="0"/>
              <w:spacing w:line="360" w:lineRule="auto"/>
              <w:rPr>
                <w:rFonts w:hint="eastAsia" w:ascii="仿宋_GB2312" w:hAnsi="仿宋_GB2312" w:eastAsia="仿宋_GB2312" w:cs="仿宋_GB2312"/>
                <w:snapToGrid w:val="0"/>
                <w:sz w:val="18"/>
                <w:szCs w:val="18"/>
              </w:rPr>
            </w:pPr>
          </w:p>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spacing w:line="360" w:lineRule="auto"/>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35" w:type="dxa"/>
            <w:gridSpan w:val="2"/>
            <w:vMerge w:val="continue"/>
            <w:vAlign w:val="center"/>
          </w:tcPr>
          <w:p>
            <w:pPr>
              <w:adjustRightInd w:val="0"/>
              <w:snapToGrid w:val="0"/>
              <w:spacing w:line="320" w:lineRule="exact"/>
              <w:jc w:val="center"/>
              <w:rPr>
                <w:rFonts w:ascii="仿宋_GB2312" w:hAnsi="仿宋_GB2312" w:eastAsia="仿宋_GB2312" w:cs="仿宋_GB2312"/>
              </w:rPr>
            </w:pPr>
          </w:p>
        </w:tc>
        <w:tc>
          <w:tcPr>
            <w:tcW w:w="705" w:type="dxa"/>
            <w:vMerge w:val="continue"/>
            <w:vAlign w:val="center"/>
          </w:tcPr>
          <w:p>
            <w:pPr>
              <w:adjustRightInd w:val="0"/>
              <w:snapToGrid w:val="0"/>
              <w:spacing w:line="320" w:lineRule="exact"/>
              <w:jc w:val="center"/>
              <w:rPr>
                <w:rFonts w:hint="eastAsia" w:ascii="仿宋_GB2312" w:hAnsi="仿宋_GB2312" w:eastAsia="仿宋_GB2312" w:cs="仿宋_GB2312"/>
                <w:snapToGrid w:val="0"/>
                <w:sz w:val="18"/>
                <w:szCs w:val="18"/>
              </w:rPr>
            </w:pPr>
          </w:p>
        </w:tc>
        <w:tc>
          <w:tcPr>
            <w:tcW w:w="485" w:type="dxa"/>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存量房</w:t>
            </w:r>
            <w:r>
              <w:rPr>
                <w:rFonts w:hint="eastAsia" w:ascii="仿宋_GB2312" w:hAnsi="仿宋_GB2312" w:eastAsia="仿宋_GB2312" w:cs="仿宋_GB2312"/>
                <w:sz w:val="18"/>
                <w:szCs w:val="18"/>
                <w:lang w:eastAsia="zh-CN"/>
              </w:rPr>
              <w:t>转让</w:t>
            </w:r>
            <w:r>
              <w:rPr>
                <w:rFonts w:hint="eastAsia" w:ascii="仿宋_GB2312" w:hAnsi="仿宋_GB2312" w:eastAsia="仿宋_GB2312" w:cs="仿宋_GB2312"/>
                <w:sz w:val="18"/>
                <w:szCs w:val="18"/>
              </w:rPr>
              <w:t>合同网签备案</w:t>
            </w:r>
          </w:p>
        </w:tc>
        <w:tc>
          <w:tcPr>
            <w:tcW w:w="3295" w:type="dxa"/>
          </w:tcPr>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【法律】《中华人民共和国城市房地产管理法》 主席令第29号 第二条……本法所称房地产交易，包括房地产转让、房地产抵押和房屋租赁。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【规章】建设部《城市房地产转让管理规定》 建设部令第96号 第四条 国务院建设行政主管部门归口管理全国城市房地产转让工作。省、自治区、直辖市人民政府建设行政主管部门归口管理本行政区域内的城市房地产转让工作。直辖市、市、悬人民政府房地产行政主管部门(以下简称房地产管理部门)负责本行政区域内的城市房地产管理工作。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【规范性文件】《国土资源部 住房城乡建设部 关于做好不动产统一登记与房屋交易管理衔接的指导意见》 国土资发〔2015〕90号 第一 根据中央要求,房屋登记等不动产登记职责将统一整合到不动产登记机构,房屋交易管理职责继续由房产管理部门承担。第二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【规范性文件】住房和城乡建设部办公厅文件 建办房[2015]45号《房屋交易与产权管理工作导则》第四章存量房转让管理第4.1条：各地应积极利用网络技术，实行存量房转让合同网签。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务院办公厅关于促进房地产市场平稳健康发展的通知》国办发〔2010〕4号第三部分加强风险防范和市场监管第（七）点进一步建立健全新建商品房、存量房交易合同网上备案制度，加大交易资金监管力度。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【规范性文件】住房和城乡建设部文件 建房[2018]128号 《住房城乡建设部关于进一步规范和加强房屋网签备案工作的指导意见》第二点全面推行房屋网签备案制度第三条：实行房屋买卖合同网签备案制度。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【规范性文件】住房和城乡建设厅文件 桂建房[2019]4号《自治区住房和城乡建设厅关于印发全面推进房屋网签备案制度促进房地产市场平稳健康发展的实施方案的通知》第二点全面推行房屋网签备案制度、第五点加强配套制度建设。 </w:t>
            </w:r>
          </w:p>
          <w:p>
            <w:pPr>
              <w:adjustRightInd w:val="0"/>
              <w:snapToGrid w:val="0"/>
              <w:spacing w:line="257"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【规范性文件】住房和城乡建设部文件 《住房和城乡建设部关于印发房屋交易合同网签备案业务规范（试行）的通知》 建房规〔2019〕5号 ，《房屋交易合同网签备案业务规范》（试行）全文</w:t>
            </w:r>
          </w:p>
        </w:tc>
        <w:tc>
          <w:tcPr>
            <w:tcW w:w="2970" w:type="dxa"/>
            <w:vAlign w:val="center"/>
          </w:tcPr>
          <w:p>
            <w:pPr>
              <w:adjustRightInd w:val="0"/>
              <w:snapToGrid w:val="0"/>
              <w:ind w:firstLine="360" w:firstLineChars="200"/>
              <w:rPr>
                <w:rFonts w:hint="eastAsia" w:ascii="仿宋_GB2312" w:hAnsi="仿宋_GB2312" w:eastAsia="仿宋_GB2312" w:cs="仿宋_GB2312"/>
                <w:sz w:val="18"/>
                <w:szCs w:val="18"/>
              </w:rPr>
            </w:pP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1. 【规章】建设部《城市房地产转让管理规定》 建设部令第96号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adjustRightInd w:val="0"/>
              <w:snapToGrid w:val="0"/>
              <w:rPr>
                <w:rFonts w:hint="eastAsia" w:ascii="仿宋_GB2312" w:hAnsi="仿宋_GB2312" w:eastAsia="仿宋_GB2312" w:cs="仿宋_GB2312"/>
                <w:sz w:val="18"/>
                <w:szCs w:val="18"/>
              </w:rPr>
            </w:pPr>
          </w:p>
        </w:tc>
        <w:tc>
          <w:tcPr>
            <w:tcW w:w="1515"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1.同上</w:t>
            </w:r>
            <w:r>
              <w:rPr>
                <w:rFonts w:hint="eastAsia" w:ascii="仿宋_GB2312" w:hAnsi="仿宋_GB2312" w:eastAsia="仿宋_GB2312" w:cs="仿宋_GB2312"/>
                <w:snapToGrid w:val="0"/>
                <w:sz w:val="18"/>
                <w:szCs w:val="18"/>
              </w:rPr>
              <w:t>【规章】《行政机关公务员处分条例》（经2007年4月4日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35" w:type="dxa"/>
            <w:gridSpan w:val="2"/>
            <w:vMerge w:val="continue"/>
            <w:vAlign w:val="center"/>
          </w:tcPr>
          <w:p>
            <w:pPr>
              <w:adjustRightInd w:val="0"/>
              <w:snapToGrid w:val="0"/>
              <w:spacing w:line="320" w:lineRule="exact"/>
              <w:jc w:val="center"/>
              <w:rPr>
                <w:rFonts w:ascii="仿宋_GB2312" w:hAnsi="仿宋_GB2312" w:eastAsia="仿宋_GB2312" w:cs="仿宋_GB2312"/>
              </w:rPr>
            </w:pPr>
          </w:p>
        </w:tc>
        <w:tc>
          <w:tcPr>
            <w:tcW w:w="70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485" w:type="dxa"/>
          </w:tcPr>
          <w:p>
            <w:pPr>
              <w:adjustRightInd w:val="0"/>
              <w:snapToGrid w:val="0"/>
              <w:spacing w:line="320" w:lineRule="exact"/>
              <w:jc w:val="center"/>
              <w:rPr>
                <w:rFonts w:hint="eastAsia" w:ascii="仿宋_GB2312" w:hAnsi="仿宋_GB2312" w:eastAsia="仿宋_GB2312" w:cs="仿宋_GB2312"/>
                <w:snapToGrid w:val="0"/>
              </w:rPr>
            </w:pPr>
            <w:r>
              <w:rPr>
                <w:rFonts w:hint="eastAsia" w:ascii="仿宋_GB2312" w:hAnsi="仿宋_GB2312" w:eastAsia="仿宋_GB2312" w:cs="仿宋_GB2312"/>
                <w:sz w:val="18"/>
                <w:szCs w:val="18"/>
              </w:rPr>
              <w:t>房屋抵押合同网签备案</w:t>
            </w:r>
          </w:p>
        </w:tc>
        <w:tc>
          <w:tcPr>
            <w:tcW w:w="3295" w:type="dxa"/>
          </w:tcPr>
          <w:p>
            <w:pPr>
              <w:adjustRightInd w:val="0"/>
              <w:snapToGrid w:val="0"/>
              <w:spacing w:line="257" w:lineRule="exact"/>
              <w:ind w:firstLine="360" w:firstLineChars="200"/>
              <w:rPr>
                <w:rFonts w:hint="eastAsia" w:ascii="仿宋_GB2312" w:hAnsi="仿宋_GB2312" w:eastAsia="仿宋_GB2312" w:cs="仿宋_GB2312"/>
                <w:snapToGrid w:val="0"/>
              </w:rPr>
            </w:pPr>
            <w:r>
              <w:rPr>
                <w:rFonts w:hint="eastAsia" w:ascii="仿宋_GB2312" w:hAnsi="仿宋_GB2312" w:eastAsia="仿宋_GB2312" w:cs="仿宋_GB2312"/>
                <w:sz w:val="18"/>
                <w:szCs w:val="18"/>
              </w:rPr>
              <w:t>1、【法律】《中华人民共和国合同法》、《中华人民共和国城市房地产管理法》。2、【规章】《城市房地产抵押管理办法》第一章第七条：直辖市、市、县人民政府房地产行政主管部门负责管理本行政区域内的房地产抵押管理工作。3、【规范性文件】《房屋交易与产权管理工作导则》第五章5.1房地产开发企业应将房地产开发项目建设过程中的抵押等主要事项记录在开发项目手册中，并及时向房产管理部门备案。</w:t>
            </w:r>
          </w:p>
        </w:tc>
        <w:tc>
          <w:tcPr>
            <w:tcW w:w="2970" w:type="dxa"/>
            <w:vAlign w:val="center"/>
          </w:tcPr>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1【法律】《中华人民共和国城市房地产管理法》第四章第四十五条：商品房预售人应当按照国家有关规定将预售合同报县级以上人民政府房产管理部门和土地管理部门备案。</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规章】《城市商品房预售管理办法》第十条：商品预售，开发企业应当与承购人签订商品房预售合同。开发企业应当自签约之日起30日内，向房地产管理部门和市、县人民政府土地管理部门办理商品房预售合同登记备案手续。</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rPr>
                <w:rFonts w:hint="eastAsia" w:ascii="仿宋_GB2312" w:hAnsi="仿宋_GB2312" w:eastAsia="仿宋_GB2312" w:cs="仿宋_GB2312"/>
                <w:sz w:val="18"/>
                <w:szCs w:val="18"/>
              </w:rPr>
            </w:pPr>
          </w:p>
        </w:tc>
        <w:tc>
          <w:tcPr>
            <w:tcW w:w="1515" w:type="dxa"/>
            <w:vAlign w:val="center"/>
          </w:tcPr>
          <w:p>
            <w:pPr>
              <w:adjustRightInd w:val="0"/>
              <w:snapToGrid w:val="0"/>
              <w:spacing w:line="360" w:lineRule="auto"/>
              <w:rPr>
                <w:rFonts w:hint="eastAsia" w:ascii="仿宋_GB2312" w:hAnsi="仿宋_GB2312" w:eastAsia="仿宋_GB2312" w:cs="仿宋_GB2312"/>
                <w:snapToGrid w:val="0"/>
                <w:sz w:val="18"/>
                <w:szCs w:val="18"/>
              </w:rPr>
            </w:pPr>
          </w:p>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spacing w:line="360" w:lineRule="auto"/>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87</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其他行政权力</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建设工程竣工验收消防备案</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【法律】《中华人民共和国消防法》第十三条：国务院住房和城乡建设主管部门规定应当申请消防验收的建设工程竣工，建设单位应当向住房和城乡建设主管部门申请消防验收。</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前款规定以外的其他建设工程，建设单位在验收后应当报住房和城乡建设主管部门备案，住房和城乡建设主管部门应当进行抽查。</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1．受理责任：公示依法应当提交的材料；一次性告知补正材料；依法受理或者不予受理（不予受理应当告知理由）。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2．审查责任：对申请材料进行审查；进行备案登记。</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3.送达责任：准予通过的，制发意见书，送达并信息公开。</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4．监管责任：加强监督管理，依法查处违法行为。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1-1.【法律】《中华人民共和国消防法》第十四条 建设工程消防设计审查、消防验收、备案和抽查的具体办法，由国务院住房和城乡建设主管部门规定。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六）其他滥用职权、玩忽职守、徇私舞弊的行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1.符合法定条件的未受理、未办理的，不符合法定条件受理办理的。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2.不履行或不正确履行权力，造成不良后果的。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3.在审查中失职、渎职的。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4.有接受宴请、钱物等腐败行为的。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行政法规】《行政机关公务员处分条例》（2007年国务院令第495号）第二十二条：弄虚作假，误导、欺骗领导和公众，造成不良后果的，给予警告、记过或者记大过处分；情节较重的，给予降级或者撤职处分；情节严重的，给予开除处分。</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行政法规】《行政机关公务员处分条例》（2007年国务院令第495号）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4.【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88</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房屋建筑和市政基础设施工程建设项目初步设计文件审批</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18"/>
                <w:szCs w:val="18"/>
              </w:rPr>
            </w:pPr>
          </w:p>
        </w:tc>
        <w:tc>
          <w:tcPr>
            <w:tcW w:w="3295" w:type="dxa"/>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-1.【行政法规】《建设工程勘察设计管理条例》（2000年9月25日国务院令第293号公布；2017年10月7日修改）第二十六条第三款：编制初步设计文件，应当满足编制施工招标文件、主要设备材料订货和编制施工图设计文件的需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-2.【行政法规】《建设工程勘察设计管理条例》（2000年9月25日国务院令第293号公布；2017年10月7日修改）第二十七条：设计文件中选用的材料、构配件、设备，应当注明其规格、型号、性能等技术指标，其质量要求必须符合国家规定的标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除有特殊要求的建筑材料、专用设备和工艺生产线等外，设计单位不得指定生产厂、供应商。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-3.【行政法规】《建设工程勘察设计管理条例》（2000年9月25日国务院令第293号公布，2017年10月7日修改）第三十一条：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-1.【地方性法规】《广西壮族自治区建设工程勘察设计管理条例》（1999年3月26日自治区九届人大常委第十次会议通过，2016年11月30日修改）第二十一条：工程勘察设计文件的编制应当依据批准的项目工程可行性研究报告，符合有关法律、法规和规章的规定，执行国家和自治区工程建设的技术标准、规范、规程，并遵守合同的约定。工程勘察设计单位有权拒绝发包方或者有关部门及其工作人员提出的违反前款规定的要求。</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-2.【地方性法规】《广西壮族自治区建设工程勘察设计管理条例》（1999年3月26日自治区九届人大常委第十次会议通过，2016年11月30日修改）第二十二条：工程勘察设计文件的编制应当按程序分阶段进行，达到国家有关工程勘察设计所规定的质量要求。</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工程设计阶段分为初步设计阶段和施工图设计阶段，城市大型民用建筑工程及技术要求较高的中小型民用建筑、城市雕塑等还包括方案设计阶段。</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3.【规范性文件】《国务院关于投资体制改革的决定》（国发〔2004〕20号，2004年7月16日国务院颁布实施）第三条 第四款：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-1.【部门规章】《中央预算内直接投资项目管理办法》（国家发展改革委令2014年第7号，2014年3月1日实施）第十九条：初步设计应当符合国家有关规定和可行性研究报告批复文件的有关要求，明确各单项工程或者单位工程的建设内容、建设规模、建设标准、用地规模、主要材料、设备规格和技术参数等设计方案，并据此编制投资概算。投资概算应当包括国家规定的项目建设所需的全部费用。</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由国家发展改革委负责审批的项目，其初步设计应当由具备相应资质的甲级设计单位编制。</w:t>
            </w:r>
          </w:p>
          <w:p>
            <w:pPr>
              <w:keepNext w:val="0"/>
              <w:keepLines w:val="0"/>
              <w:pageBreakBefore w:val="0"/>
              <w:widowControl/>
              <w:kinsoku/>
              <w:wordWrap/>
              <w:overflowPunct/>
              <w:topLinePunct w:val="0"/>
              <w:autoSpaceDE/>
              <w:autoSpaceDN/>
              <w:bidi w:val="0"/>
              <w:adjustRightInd w:val="0"/>
              <w:snapToGrid w:val="0"/>
              <w:spacing w:line="250" w:lineRule="exact"/>
              <w:ind w:firstLine="400" w:firstLineChars="200"/>
              <w:rPr>
                <w:rFonts w:hint="eastAsia" w:ascii="仿宋_GB2312" w:hAnsi="仿宋_GB2312" w:eastAsia="仿宋_GB2312" w:cs="仿宋_GB2312"/>
                <w:color w:val="000000"/>
                <w:kern w:val="0"/>
                <w:sz w:val="18"/>
                <w:szCs w:val="18"/>
                <w:lang w:val="en-US" w:eastAsia="zh-CN" w:bidi="ar-SA"/>
              </w:rPr>
            </w:pPr>
            <w:r>
              <w:rPr>
                <w:rFonts w:hint="eastAsia" w:ascii="方正书宋_GBK" w:eastAsia="方正书宋_GBK"/>
                <w:sz w:val="20"/>
                <w:szCs w:val="20"/>
              </w:rPr>
              <w:t>4-2.【部门规章】《中央预算内直接投资项目管理办法》（国家发展改革委令2014年第7号，2014年3月1日实施）第二十一条：初步设计编制完成后，由项目单位按照规定程序报送项目审批部门审批。法律法规对直接投资项目的初步设计审批权限另有规定的，从其规定。</w:t>
            </w:r>
          </w:p>
        </w:tc>
        <w:tc>
          <w:tcPr>
            <w:tcW w:w="2970"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2.审查责任：按照政策规定，审查申请材料，组织专家审查。</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3.决定责任；作出准予通过或者不予通过决定，法定告知(不予通过的应当书面告知理由) 。</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4.送达责任：准予通过的，制发批复文件，送达并信息公开。</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5.监管责任：建立实施监督检查的运行机制和管理制度，开展定期和不定期检查，依法采取相关处置措施。</w:t>
            </w:r>
          </w:p>
          <w:p>
            <w:pPr>
              <w:adjustRightInd w:val="0"/>
              <w:snapToGrid w:val="0"/>
              <w:spacing w:line="260" w:lineRule="exact"/>
              <w:ind w:firstLine="400" w:firstLineChars="200"/>
              <w:rPr>
                <w:rFonts w:hint="eastAsia" w:ascii="仿宋_GB2312" w:hAnsi="仿宋_GB2312" w:eastAsia="仿宋_GB2312" w:cs="仿宋_GB2312"/>
                <w:color w:val="000000"/>
                <w:kern w:val="0"/>
                <w:sz w:val="18"/>
                <w:szCs w:val="18"/>
                <w:lang w:val="en-US" w:eastAsia="zh-CN" w:bidi="ar-SA"/>
              </w:rPr>
            </w:pPr>
            <w:r>
              <w:rPr>
                <w:rFonts w:hint="eastAsia" w:ascii="方正书宋_GBK" w:eastAsia="方正书宋_GBK"/>
                <w:sz w:val="20"/>
                <w:szCs w:val="20"/>
              </w:rPr>
              <w:t>6.法律法规规章文件规定的其他应履行的责任。</w:t>
            </w:r>
          </w:p>
        </w:tc>
        <w:tc>
          <w:tcPr>
            <w:tcW w:w="4950"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-1.【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-2.【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3-1.【法律】《中华人民共和国行政许可法》第三十七条:行政机关对行政许可申请进行审查后，除当场作出行政许可决定的外，应当在法定期限内按照规定程序作出行政许可决定。</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4-1.【法律】《中华人民共和国行政许可法》第四十条：行政机关作出的准予行政许可决定，应当予以公开，公众有权查阅。</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4-2.【法律】《中华人民共和国行政许可法》第四十四条：行政机关作出准予行政许可的决定，应当自作出决定之日起十日内向申请人颁发、送达行政许可证件，或者加贴标签、加盖检验、检测、检疫印章。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5.【法律】《中华人民共和国行政许可法》第六十一条:行政机关应当建立健全监督制度，通过核查反映被许可人从事行政许可事项活动情况的有关材料，履行监督责任。</w:t>
            </w:r>
          </w:p>
        </w:tc>
        <w:tc>
          <w:tcPr>
            <w:tcW w:w="1515"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1.对材料齐全、符合审批条件规定的申请不予受理、不予通过或者不在法定期限内作出准予通过决定的；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2.对不符合审批条件及规定的申请准予许可或者超越法定权限作出准予许可决定的；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3.不按法定的审批流程受理、审查、审批办理相关申请事项的；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4.在受理、审查、审批过程中滥用职权、玩忽职守，造成恶劣影响的；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5.收受贿赂，或者为他人谋取不正当利益提供方便的；</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6.除以上追责情形外，其他违反法律法规规章的行为依法追究相应责任。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-1.【地方政府规章】《广西壮族自治区建设工程勘察设计管理条例》（1999年3月26日自治区九届人大常委第十次会议通过；2016年11月30日修改）第三十六条：工程勘察设计监督管理部门及其工作人员有下列行为之一的，依法给予行政处分；构成犯罪的，依法追究刑事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（一）超越权限或者不按资格条件审批资格证书的；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（二）玩忽职守、滥用职权、徇私舞弊或者索贿、受贿的。有前款第（一）项行为，导致重大工程质量事故的，还要依法追究单位负责人相应的责任。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-2.【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5.【法律】《中华人民共和国行政许可法》第七十三条：行政机关工作人员办理行政许可、实施监督检查，索取或者收受他人财物或者谋取其他利益，构成犯罪的，依法追究刑事责任；尚不构成犯罪的，依法给予行政处分。</w:t>
            </w:r>
          </w:p>
        </w:tc>
        <w:tc>
          <w:tcPr>
            <w:tcW w:w="984" w:type="dxa"/>
            <w:vAlign w:val="center"/>
          </w:tcPr>
          <w:p>
            <w:pPr>
              <w:spacing w:after="200" w:line="240" w:lineRule="exact"/>
              <w:textAlignment w:val="center"/>
              <w:rPr>
                <w:rFonts w:ascii="方正书宋_GBK" w:hAnsi="宋体" w:eastAsia="方正书宋_GBK" w:cs="宋体"/>
                <w:kern w:val="0"/>
                <w:sz w:val="11"/>
                <w:szCs w:val="11"/>
                <w:lang w:val="en-US" w:eastAsia="zh-CN" w:bidi="ar-SA"/>
              </w:rPr>
            </w:pPr>
          </w:p>
        </w:tc>
        <w:tc>
          <w:tcPr>
            <w:tcW w:w="400" w:type="dxa"/>
          </w:tcPr>
          <w:p>
            <w:pPr>
              <w:adjustRightInd w:val="0"/>
              <w:snapToGrid w:val="0"/>
              <w:spacing w:line="320" w:lineRule="exact"/>
              <w:rPr>
                <w:rFonts w:eastAsia="仿宋_GB2312"/>
                <w:snapToGrid w:val="0"/>
                <w:color w:val="000000"/>
              </w:rPr>
            </w:pPr>
          </w:p>
        </w:tc>
      </w:tr>
    </w:tbl>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89</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color w:val="000000"/>
                <w:kern w:val="0"/>
                <w:sz w:val="20"/>
                <w:szCs w:val="20"/>
              </w:rPr>
              <w:t>非还建住房购买资格审查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color w:val="000000"/>
                <w:kern w:val="0"/>
                <w:sz w:val="20"/>
                <w:szCs w:val="20"/>
              </w:rPr>
              <w:t>【规章】《广西壮族自治区危旧房改住房改造暂行办法》（2009年2月10日，桂政发〔2009〕16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1.受理责任：按照危旧房改住房改造项目非还建住房购买资格事项条件、标准、审核申报材料是否齐全、是否符合危旧房改住房非还建住房购买资格的条件，决定是否受理。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2.审核责任：按照办理条件和标准，对符合条件的申请人，提出同意的审查意见；对不符合条件的，退回申报材料。</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3.登记责任：对符合条件的申请人，向申请人出具同意购买非还建住房的书面文书。</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4.其他法律法规规章文件规定应履行的责任。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广西壮族自治区人民政府关于印发〈广西壮族自治区危旧房改住房改造暂行办法〉的通知》（2009年2月10日，桂政发〔2009〕16号）：第三十一条：“购买非还建住房实行申请、审批和公示制度。对符合本办法第三十条规定条件的，由建设单位提出初审意见后报当地住房制度改革委员会办公室审查发放准购证。”</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w:t>
            </w:r>
          </w:p>
        </w:tc>
        <w:tc>
          <w:tcPr>
            <w:tcW w:w="1515" w:type="dxa"/>
            <w:vAlign w:val="center"/>
          </w:tcPr>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1.符合法定条件的未受理、未办理的，不符合法定条件受理办理的。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2..在审查监管中失职、渎职的。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3.在办理中有接受宴请、钱物等腐败行为的。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4.其他法律法规规章文件规定应履行的责任。</w:t>
            </w:r>
          </w:p>
        </w:tc>
        <w:tc>
          <w:tcPr>
            <w:tcW w:w="4858" w:type="dxa"/>
            <w:vAlign w:val="center"/>
          </w:tcPr>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4.其他法律法规..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90</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color w:val="auto"/>
                <w:kern w:val="0"/>
                <w:sz w:val="18"/>
                <w:szCs w:val="18"/>
              </w:rPr>
              <w:t>公有住房上市交易审查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z w:val="18"/>
                <w:szCs w:val="18"/>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1、《已购公有住房和经济适用住房上市出售管理暂行办法》（建设部令第69号 1999年4月22日起施行）第六条 已购公有住房和经济适用住房所有权人要求将已购公有住房和经济适用住房上市出售的，应当向房屋所在地的县级以上人民政府房地产行政主管部门提出申请。 2、《【规范性文件】自治区人民政府关于印发《广西壮族自治区已购公有住房上市交易暂行办法》的通知（桂政发[1999]74号）第五条 已购公有住房上市交易应具备下列条件：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（一）拥有已购公有住房全产权并已取得《房屋所有权证》和《个人住房档案》；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（二）已按规定交纳应分摊的共用建筑面积价款；</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（三）出售、交换、出租、继承、赠与拥有部分产权的已购公有住房，必须按上市当年当地测定的成本价补足房价款，过渡为拥有住房全产权。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第六条 属于下列情况的已购公有住房不能上市交易：</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（一）以低于房改成本价购买且没有按照规定补足房价款的；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（二）住房面积超过自治区规定的控制标准，或者违反规定利用公款超标准装修，且超标部分未按照规定补足房价款及装修费用的；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（三）已购公有住房又租用公有住房的；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（四）处于户籍冻结地区并已列入拆迁改造公告范围的；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（五）校园内不能分割，实行封闭管理的；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（六）产权共有未经共有人同意的；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（七）已抵押且未经抵押权人书面同意的；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（八）上市交易后形成新的住房困难的；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（九） 擅自改变住房使用性质的；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（十）违反房改政策规定，尚未纠正处理的；</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color w:val="auto"/>
                <w:kern w:val="0"/>
                <w:sz w:val="20"/>
                <w:szCs w:val="20"/>
              </w:rPr>
              <w:t>（十一）法律、法规以及县级以上（含县级）人民政府规定暂不宜上市交易的。</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1.受理责任：按照政策性住房购买资格申报登记事项条件、标准、审核申报材料是否齐全，是否符合条件，决定是否受理。 </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 xml:space="preserve"> 2.审核责任：按照办理条件和标准，对符合条件的，在规定时限提出同意的审查意见；对不符合条件的，退回申报材料。</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【规范性文件】自治区人民政府关于印发《广西壮族自治区已购公有住房上市交易暂行办法》的通知（桂政发[1999]74号）第五条 已购公有住房上市交易应具备下列条件：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（一）拥有已购公有住房全产权并已取得《房屋所有权证》和《个人住房档案》；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（二）已按规定交纳应分摊的共用建筑面积价款；</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（三）出售、交换、出租、继承、赠与拥有部分产权的已购公有住房，必须按上市当年当地测定的成本价补足房价款，过渡为拥有住房全产权。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第六条 属于下列情况的已购公有住房不能上市交易：</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（一）以低于房改成本价购买且没有按照规定补足房价款的；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（二）住房面积超过自治区规定的控制标准，或者违反规定利用公款超标准装修，且超标部分未按照规定补足房价款及装修费用的；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（三）已购公有住房又租用公有住房的；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（四）处于户籍冻结地区并已列入拆迁改造公告范围的；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（五）校园内不能分割，实行封闭管理的；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（六）产权共有未经共有人同意的；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（七）已抵押且未经抵押权人书面同意的；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（八）上市交易后形成新的住房困难的；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（九） 擅自改变住房使用性质的；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（十）违反房改政策规定，尚未纠正处理的；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（十一）法律、法规以及县级以上（含县级）人民政府规定暂不宜上市交易的。</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1.符合法定条件的未受理、未办理的，不符合法定条件受理办理的。</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2..在审查监管中失职、渎职的。</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3.在办理中有接受宴请、钱物等腐败行为的。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4.其他法律法规规章文件规定应履行的责任。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【规范性文件】自治区人民政府关于印发《广西壮族自治区已购公有住房上市交易暂行办法》的通知（桂政发[1999]74号）第二十一条 有关部门工作人员玩忽职守、滥用职权、徇私舞弊、贪污受贿的，由其所在单位或上级主管部门按有关规定给予行政处分，情节严重构成犯罪的，依法追究刑事责任。</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人民防空工程竣工验收备案</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2016年11月30日广西壮族自治区第十二届人民代表大会常务委员会第二十六次会议修正）。第十五条 人民防空主管部门负责组织修建的人民防空指挥工程、公用的人员掩蔽工程和疏散干道工程，由人民防空主管部门按照国家和自治区有关规定办理项目立项手续，并负责设计审查、质量监督、定额管理和竣工验收。第二十五条 防空地下室和兼顾人民防空需要的地下空间开发项目实行竣工验收备案制度。建设单位向建设行政主管部门报送的备案材料应当包含人民防空主管部门的认可文件。</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2.【规范性文件】根据国家国防动员委员会、国家发展计划委员会、建设部、财政部《关于颁发&lt;人民防空工程建设管理规定&gt;的通知》（国人防办字第【2003】18号）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1.受理责任：公示应当提交的材料，审核材料是否齐全；申请事项是否属于权限范围；是否符合申请条件，决定依法受理或不予受理（不予受理应当告知理由）。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2.审查责任：按照办理条件和标准，审核材料的合法性、真实性，提出审核意见.</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3.决定责任：审查作出同意或不同意决定。</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4.送达责任：制发送达同意或不同意决定书。</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5.其他法律法规规章文件规定应履行的责任。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1-1.【政府规章】《广西壮族自治区行政执法程序规定》（1997年广西壮族自治区人民政府令第13号公布）第二十二条 行政执法机关应将办理各种申请的条件、程序、期限和范围及其他相关情况向社会公开，并应建立受理申请登记制度。第二十四条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规范性文件】《人民防空工程建设管理规定》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相对人申请之日起十五日内予以转报。批准机关对转报的事项应在接到转报材料之日起十五日内作出是否同意的决定，并通知转报机关，由转报机关通知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3.【政府规章】《广西壮族自治区人民防空工程建设与维护管理办法》（2013年广西壮族自治区人民政府令第86号公布，2013年4月1日起施行）第十七条 人民防空主管部门应当加强对人民防空工程维护管理的监督检查，督促人民防空工程的所有权人或者管理人、利用人建立相应的维护管理制度，保持人民防空工程的防护能力。 第十八条 平时利用人民防空工程的，利用人应当与人民防空工程所有权人或者管理人签订人民防空工程安全使用责任书，明确安全使用和维护管理责任，并接受人民防空主管部门对人民防空工程安全使用和维护情况的监督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4.同2。</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1.依法应当回避不回避；</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2.不依法履行告知义务；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3.执行公务活动不出示有效证件；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4.其他违反法定程序的情形。</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1.【政府规章】《广西壮族自治区行政过错责任追究办法》（2007年广西壮族自治区人民政府令第24号）第八条 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4-2.【地方性法规】《广西壮族自治区实施〈中华人民共和国人民防空法〉办法》（1999年5月29日广西壮族自治区第九届人民代表大会常务委员会第十一次会议通过；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2016年11月30日广西壮族自治区第十二届人民代表大会常务委员会第二十六次会议修正）。第四十三条 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92</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其他行政权力</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对在民用建筑节能工作中做出显著成绩的单位和个人的表彰</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1．【法律】《中华人民共和国节约能源法》第六十七条：各级人民政府对在节能管理、节能科学技术研究和推广应用中有显著成绩以及检举严重浪费能源行为的单位和个人，给予表彰和奖励。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2．【法规】《民用建筑节能条例》（2008年国务院令第530号公布）第十条：对在民用建筑节能工作中做出显著成绩的单位和个人，按照国家有关规定给予表彰和奖励。</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地方性法规】《广西壮族自治区实施〈中华人民共和国节约能源法〉办法》（2013年5月30日广西壮族自治区第十二届人民代表大会常务委员会公告第7号公布）第三十二条：各级人民政府对在节能管理、节能科学技术研究、节能产品与技术推广应用中有显著成绩以及举报严重浪费能源行为的单位和个人，给予表彰和奖励。</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1.公告（通知）受理责任：告知评比的对象、方式、内容和标准；一次性告知补正材料；依法受理或者不予受理（不予受理应当告知理由）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2.审查责任：收集整理相关申请材料，根据评比标准审查材料，提出审查意见；</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3.决定责任：经集体审议，作出予以表彰或不予表彰决定（不予表彰的应当告知理由）；依法公示；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4.发放送达责任：公示无异议后，签发正式文件公布获表彰奖励单位和个人名单，制作表彰证书，规定时间内发送送达相对人；信息公开；</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二十二条：行政执法机关应将办理各种申请的条件、程序、期限和范围及其他相关情况向社会公开，并应建立受理申请登记制度。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2-1．【法律】《中华人民共和国节约能源法》第六十七条：各级人民政府对在节能管理、节能科学技术研究和推广应用中有显著成绩以及检举严重浪费能源行为的单位和个人，给予表彰和奖励。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2-2．【法规】《民用建筑节能条例》（2008年国务院令第530号公布）第十条：对在民用建筑节能工作中做出显著成绩的单位和个人，按照国家有关规定给予表彰和奖励。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地方性法规】《广西壮族自治区实施〈中华人民共和国节约能源法〉办法》（2013年5月30日广西壮族自治区第十二届人民代表大会常务委员会公告第7号公布）第三十二条：各级人民政府对在节能管理、节能科学技术研究、节能产品与技术推广应用中有显著成绩以及举报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3.同2-1、2-2、2-3。</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地方政府规章】《广西壮族自治区行政执法程序规定》（1997年广西壮族自治区人民政府令第13号发布）第五十六条第一款：行政处理决定书和其他法律文书应当在宣告后当场交付相对人，相对人应在送达回证上签名或者盖章并注明签收日期，其签收日期为送达的日期。</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1.违反程序和标准实施表彰奖励的；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2.索取或者收受他人钱物，谋取不正当利益；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3．滥用职权、玩忽职守、徇私舞弊，导致评价果不公平、不公正，引起纠纷；</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三条：行政机关及其工作人员不依法履行或者不适当履行职责，以致影响行政秩序和行政效率，贻误行政管理工作，或者损害行政管理相对人合法权益的，依照本办法追究行政过错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3.【法律】《中华人民共和国节约能源法》第八十六条：国家工作人员在节能管理工作中滥用职权、玩忽职守、徇私舞弊，构成犯罪的，依法追究刑事责任；尚不构成犯罪的，依法给予处分。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sectPr>
      <w:footerReference r:id="rId3" w:type="default"/>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82 -</w:t>
    </w:r>
    <w:r>
      <w:rPr>
        <w:sz w:val="21"/>
        <w:szCs w:val="2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1165E"/>
    <w:multiLevelType w:val="singleLevel"/>
    <w:tmpl w:val="22B1165E"/>
    <w:lvl w:ilvl="0" w:tentative="0">
      <w:start w:val="1"/>
      <w:numFmt w:val="decimal"/>
      <w:lvlText w:val="%1."/>
      <w:lvlJc w:val="left"/>
      <w:pPr>
        <w:tabs>
          <w:tab w:val="left" w:pos="312"/>
        </w:tabs>
      </w:pPr>
    </w:lvl>
  </w:abstractNum>
  <w:abstractNum w:abstractNumId="1">
    <w:nsid w:val="4488503E"/>
    <w:multiLevelType w:val="singleLevel"/>
    <w:tmpl w:val="4488503E"/>
    <w:lvl w:ilvl="0" w:tentative="0">
      <w:start w:val="1"/>
      <w:numFmt w:val="decimal"/>
      <w:suff w:val="nothing"/>
      <w:lvlText w:val="%1、"/>
      <w:lvlJc w:val="left"/>
    </w:lvl>
  </w:abstractNum>
  <w:abstractNum w:abstractNumId="2">
    <w:nsid w:val="59127214"/>
    <w:multiLevelType w:val="singleLevel"/>
    <w:tmpl w:val="59127214"/>
    <w:lvl w:ilvl="0" w:tentative="0">
      <w:start w:val="1"/>
      <w:numFmt w:val="decimal"/>
      <w:suff w:val="nothing"/>
      <w:lvlText w:val="%1."/>
      <w:lvlJc w:val="left"/>
    </w:lvl>
  </w:abstractNum>
  <w:abstractNum w:abstractNumId="3">
    <w:nsid w:val="59143045"/>
    <w:multiLevelType w:val="singleLevel"/>
    <w:tmpl w:val="59143045"/>
    <w:lvl w:ilvl="0" w:tentative="0">
      <w:start w:val="1"/>
      <w:numFmt w:val="decimal"/>
      <w:suff w:val="nothing"/>
      <w:lvlText w:val="%1."/>
      <w:lvlJc w:val="left"/>
    </w:lvl>
  </w:abstractNum>
  <w:abstractNum w:abstractNumId="4">
    <w:nsid w:val="59283900"/>
    <w:multiLevelType w:val="singleLevel"/>
    <w:tmpl w:val="59283900"/>
    <w:lvl w:ilvl="0" w:tentative="0">
      <w:start w:val="3"/>
      <w:numFmt w:val="decimal"/>
      <w:suff w:val="nothing"/>
      <w:lvlText w:val="%1."/>
      <w:lvlJc w:val="left"/>
    </w:lvl>
  </w:abstractNum>
  <w:abstractNum w:abstractNumId="5">
    <w:nsid w:val="5928DB7D"/>
    <w:multiLevelType w:val="singleLevel"/>
    <w:tmpl w:val="5928DB7D"/>
    <w:lvl w:ilvl="0" w:tentative="0">
      <w:start w:val="2"/>
      <w:numFmt w:val="decimal"/>
      <w:suff w:val="nothing"/>
      <w:lvlText w:val="%1."/>
      <w:lvlJc w:val="left"/>
    </w:lvl>
  </w:abstractNum>
  <w:abstractNum w:abstractNumId="6">
    <w:nsid w:val="5928EF85"/>
    <w:multiLevelType w:val="singleLevel"/>
    <w:tmpl w:val="5928EF85"/>
    <w:lvl w:ilvl="0" w:tentative="0">
      <w:start w:val="2"/>
      <w:numFmt w:val="decimal"/>
      <w:suff w:val="nothing"/>
      <w:lvlText w:val="%1."/>
      <w:lvlJc w:val="left"/>
    </w:lvl>
  </w:abstractNum>
  <w:abstractNum w:abstractNumId="7">
    <w:nsid w:val="5928F3C4"/>
    <w:multiLevelType w:val="singleLevel"/>
    <w:tmpl w:val="5928F3C4"/>
    <w:lvl w:ilvl="0" w:tentative="0">
      <w:start w:val="1"/>
      <w:numFmt w:val="decimal"/>
      <w:suff w:val="nothing"/>
      <w:lvlText w:val="%1."/>
      <w:lvlJc w:val="left"/>
    </w:lvl>
  </w:abstractNum>
  <w:abstractNum w:abstractNumId="8">
    <w:nsid w:val="5928F3D4"/>
    <w:multiLevelType w:val="singleLevel"/>
    <w:tmpl w:val="5928F3D4"/>
    <w:lvl w:ilvl="0" w:tentative="0">
      <w:start w:val="4"/>
      <w:numFmt w:val="decimal"/>
      <w:suff w:val="nothing"/>
      <w:lvlText w:val="%1."/>
      <w:lvlJc w:val="left"/>
    </w:lvl>
  </w:abstractNum>
  <w:abstractNum w:abstractNumId="9">
    <w:nsid w:val="59292E95"/>
    <w:multiLevelType w:val="singleLevel"/>
    <w:tmpl w:val="59292E95"/>
    <w:lvl w:ilvl="0" w:tentative="0">
      <w:start w:val="2"/>
      <w:numFmt w:val="decimal"/>
      <w:suff w:val="nothing"/>
      <w:lvlText w:val="%1."/>
      <w:lvlJc w:val="left"/>
    </w:lvl>
  </w:abstractNum>
  <w:abstractNum w:abstractNumId="10">
    <w:nsid w:val="5929368C"/>
    <w:multiLevelType w:val="singleLevel"/>
    <w:tmpl w:val="5929368C"/>
    <w:lvl w:ilvl="0" w:tentative="0">
      <w:start w:val="3"/>
      <w:numFmt w:val="decimal"/>
      <w:suff w:val="nothing"/>
      <w:lvlText w:val="%1."/>
      <w:lvlJc w:val="left"/>
    </w:lvl>
  </w:abstractNum>
  <w:abstractNum w:abstractNumId="11">
    <w:nsid w:val="59293C96"/>
    <w:multiLevelType w:val="singleLevel"/>
    <w:tmpl w:val="59293C96"/>
    <w:lvl w:ilvl="0" w:tentative="0">
      <w:start w:val="4"/>
      <w:numFmt w:val="decimal"/>
      <w:suff w:val="space"/>
      <w:lvlText w:val="%1."/>
      <w:lvlJc w:val="left"/>
    </w:lvl>
  </w:abstractNum>
  <w:abstractNum w:abstractNumId="12">
    <w:nsid w:val="59297A1C"/>
    <w:multiLevelType w:val="singleLevel"/>
    <w:tmpl w:val="59297A1C"/>
    <w:lvl w:ilvl="0" w:tentative="0">
      <w:start w:val="2"/>
      <w:numFmt w:val="decimal"/>
      <w:suff w:val="nothing"/>
      <w:lvlText w:val="%1."/>
      <w:lvlJc w:val="left"/>
    </w:lvl>
  </w:abstractNum>
  <w:abstractNum w:abstractNumId="13">
    <w:nsid w:val="59297CB6"/>
    <w:multiLevelType w:val="singleLevel"/>
    <w:tmpl w:val="59297CB6"/>
    <w:lvl w:ilvl="0" w:tentative="0">
      <w:start w:val="3"/>
      <w:numFmt w:val="decimal"/>
      <w:suff w:val="nothing"/>
      <w:lvlText w:val="%1."/>
      <w:lvlJc w:val="left"/>
    </w:lvl>
  </w:abstractNum>
  <w:abstractNum w:abstractNumId="14">
    <w:nsid w:val="592D3495"/>
    <w:multiLevelType w:val="singleLevel"/>
    <w:tmpl w:val="592D3495"/>
    <w:lvl w:ilvl="0" w:tentative="0">
      <w:start w:val="1"/>
      <w:numFmt w:val="decimal"/>
      <w:suff w:val="nothing"/>
      <w:lvlText w:val="%1."/>
      <w:lvlJc w:val="left"/>
    </w:lvl>
  </w:abstractNum>
  <w:abstractNum w:abstractNumId="15">
    <w:nsid w:val="5EAFFAFA"/>
    <w:multiLevelType w:val="singleLevel"/>
    <w:tmpl w:val="5EAFFAFA"/>
    <w:lvl w:ilvl="0" w:tentative="0">
      <w:start w:val="1"/>
      <w:numFmt w:val="decimal"/>
      <w:suff w:val="nothing"/>
      <w:lvlText w:val="%1、"/>
      <w:lvlJc w:val="left"/>
    </w:lvl>
  </w:abstractNum>
  <w:num w:numId="1">
    <w:abstractNumId w:val="4"/>
  </w:num>
  <w:num w:numId="2">
    <w:abstractNumId w:val="11"/>
  </w:num>
  <w:num w:numId="3">
    <w:abstractNumId w:val="5"/>
  </w:num>
  <w:num w:numId="4">
    <w:abstractNumId w:val="10"/>
  </w:num>
  <w:num w:numId="5">
    <w:abstractNumId w:val="9"/>
  </w:num>
  <w:num w:numId="6">
    <w:abstractNumId w:val="6"/>
  </w:num>
  <w:num w:numId="7">
    <w:abstractNumId w:val="15"/>
  </w:num>
  <w:num w:numId="8">
    <w:abstractNumId w:val="14"/>
  </w:num>
  <w:num w:numId="9">
    <w:abstractNumId w:val="12"/>
  </w:num>
  <w:num w:numId="10">
    <w:abstractNumId w:val="3"/>
  </w:num>
  <w:num w:numId="11">
    <w:abstractNumId w:val="13"/>
  </w:num>
  <w:num w:numId="12">
    <w:abstractNumId w:val="7"/>
  </w:num>
  <w:num w:numId="13">
    <w:abstractNumId w:val="8"/>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D"/>
    <w:rsid w:val="0001052B"/>
    <w:rsid w:val="00011A3F"/>
    <w:rsid w:val="00035CC4"/>
    <w:rsid w:val="00036E85"/>
    <w:rsid w:val="00041B91"/>
    <w:rsid w:val="00045FC8"/>
    <w:rsid w:val="00054121"/>
    <w:rsid w:val="0005478D"/>
    <w:rsid w:val="000547F3"/>
    <w:rsid w:val="00062C08"/>
    <w:rsid w:val="000633BB"/>
    <w:rsid w:val="00063407"/>
    <w:rsid w:val="000714B1"/>
    <w:rsid w:val="00080128"/>
    <w:rsid w:val="000A2851"/>
    <w:rsid w:val="000A5536"/>
    <w:rsid w:val="000C01F7"/>
    <w:rsid w:val="000C212C"/>
    <w:rsid w:val="000C3FF8"/>
    <w:rsid w:val="000C5776"/>
    <w:rsid w:val="000C751D"/>
    <w:rsid w:val="000E4957"/>
    <w:rsid w:val="000E6220"/>
    <w:rsid w:val="000F18F6"/>
    <w:rsid w:val="000F67CB"/>
    <w:rsid w:val="00110969"/>
    <w:rsid w:val="001113DD"/>
    <w:rsid w:val="0013177F"/>
    <w:rsid w:val="00135344"/>
    <w:rsid w:val="00135EB1"/>
    <w:rsid w:val="001434BF"/>
    <w:rsid w:val="00143C49"/>
    <w:rsid w:val="00146BFD"/>
    <w:rsid w:val="00155CEB"/>
    <w:rsid w:val="00164477"/>
    <w:rsid w:val="00167833"/>
    <w:rsid w:val="001841F4"/>
    <w:rsid w:val="00193E44"/>
    <w:rsid w:val="00194FE7"/>
    <w:rsid w:val="001977C6"/>
    <w:rsid w:val="001979A2"/>
    <w:rsid w:val="001A171B"/>
    <w:rsid w:val="001A6D4F"/>
    <w:rsid w:val="001B5C84"/>
    <w:rsid w:val="001C2B9B"/>
    <w:rsid w:val="001C3141"/>
    <w:rsid w:val="001C3B87"/>
    <w:rsid w:val="001D23AB"/>
    <w:rsid w:val="001F0A8D"/>
    <w:rsid w:val="001F0D4A"/>
    <w:rsid w:val="001F1498"/>
    <w:rsid w:val="00203A2A"/>
    <w:rsid w:val="00206F02"/>
    <w:rsid w:val="0021046A"/>
    <w:rsid w:val="00211B36"/>
    <w:rsid w:val="0021772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5FA2"/>
    <w:rsid w:val="00296C80"/>
    <w:rsid w:val="002A09F9"/>
    <w:rsid w:val="002A364F"/>
    <w:rsid w:val="002C689A"/>
    <w:rsid w:val="002D041A"/>
    <w:rsid w:val="002D0C20"/>
    <w:rsid w:val="002E0020"/>
    <w:rsid w:val="002F0213"/>
    <w:rsid w:val="002F49AF"/>
    <w:rsid w:val="002F7443"/>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016BC"/>
    <w:rsid w:val="00423E8E"/>
    <w:rsid w:val="004242C0"/>
    <w:rsid w:val="00431B1A"/>
    <w:rsid w:val="004378A0"/>
    <w:rsid w:val="0044388B"/>
    <w:rsid w:val="00443C04"/>
    <w:rsid w:val="00456B44"/>
    <w:rsid w:val="00457A7D"/>
    <w:rsid w:val="00464D8A"/>
    <w:rsid w:val="00475C57"/>
    <w:rsid w:val="00476E61"/>
    <w:rsid w:val="00481902"/>
    <w:rsid w:val="00482114"/>
    <w:rsid w:val="00482339"/>
    <w:rsid w:val="00483F89"/>
    <w:rsid w:val="004944BE"/>
    <w:rsid w:val="004B7B61"/>
    <w:rsid w:val="004C0C2C"/>
    <w:rsid w:val="004C5E3B"/>
    <w:rsid w:val="004C7B36"/>
    <w:rsid w:val="004D036E"/>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52346"/>
    <w:rsid w:val="00567046"/>
    <w:rsid w:val="00567255"/>
    <w:rsid w:val="005704BD"/>
    <w:rsid w:val="00576655"/>
    <w:rsid w:val="00587DE9"/>
    <w:rsid w:val="00594F9E"/>
    <w:rsid w:val="005A421B"/>
    <w:rsid w:val="005C13DC"/>
    <w:rsid w:val="005C7FAF"/>
    <w:rsid w:val="005D557F"/>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3CDC"/>
    <w:rsid w:val="00646F0F"/>
    <w:rsid w:val="00647B07"/>
    <w:rsid w:val="006657D2"/>
    <w:rsid w:val="00675C36"/>
    <w:rsid w:val="006A67C3"/>
    <w:rsid w:val="006B0352"/>
    <w:rsid w:val="006B3DCC"/>
    <w:rsid w:val="006B4FD4"/>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32BC"/>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0B86"/>
    <w:rsid w:val="007E1208"/>
    <w:rsid w:val="007E6156"/>
    <w:rsid w:val="007E7512"/>
    <w:rsid w:val="007F4EA8"/>
    <w:rsid w:val="007F6DF6"/>
    <w:rsid w:val="007F7E5B"/>
    <w:rsid w:val="00805185"/>
    <w:rsid w:val="00806DB9"/>
    <w:rsid w:val="0081087F"/>
    <w:rsid w:val="00814BDD"/>
    <w:rsid w:val="00820D7B"/>
    <w:rsid w:val="00824288"/>
    <w:rsid w:val="0082595D"/>
    <w:rsid w:val="00826A63"/>
    <w:rsid w:val="0083245A"/>
    <w:rsid w:val="00833E69"/>
    <w:rsid w:val="00834CED"/>
    <w:rsid w:val="00847B53"/>
    <w:rsid w:val="00862A0F"/>
    <w:rsid w:val="00862C54"/>
    <w:rsid w:val="008733D3"/>
    <w:rsid w:val="0089268D"/>
    <w:rsid w:val="00893E06"/>
    <w:rsid w:val="00894380"/>
    <w:rsid w:val="008A15EA"/>
    <w:rsid w:val="008A3D55"/>
    <w:rsid w:val="008A44DB"/>
    <w:rsid w:val="008B2539"/>
    <w:rsid w:val="008B29F6"/>
    <w:rsid w:val="008B625F"/>
    <w:rsid w:val="008B7EBB"/>
    <w:rsid w:val="008C0AE5"/>
    <w:rsid w:val="008D2F22"/>
    <w:rsid w:val="008E4572"/>
    <w:rsid w:val="008E5086"/>
    <w:rsid w:val="008E58D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14AB"/>
    <w:rsid w:val="00964766"/>
    <w:rsid w:val="009733E6"/>
    <w:rsid w:val="00975D64"/>
    <w:rsid w:val="009804A9"/>
    <w:rsid w:val="00985F50"/>
    <w:rsid w:val="00995335"/>
    <w:rsid w:val="00996ECA"/>
    <w:rsid w:val="00996ECF"/>
    <w:rsid w:val="009D2E25"/>
    <w:rsid w:val="009F5BB7"/>
    <w:rsid w:val="009F6809"/>
    <w:rsid w:val="009F7ED0"/>
    <w:rsid w:val="00A076D6"/>
    <w:rsid w:val="00A2712A"/>
    <w:rsid w:val="00A300DD"/>
    <w:rsid w:val="00A30524"/>
    <w:rsid w:val="00A37B61"/>
    <w:rsid w:val="00A402EF"/>
    <w:rsid w:val="00A42224"/>
    <w:rsid w:val="00A5461B"/>
    <w:rsid w:val="00A576BA"/>
    <w:rsid w:val="00A60394"/>
    <w:rsid w:val="00A60ACB"/>
    <w:rsid w:val="00A62FCC"/>
    <w:rsid w:val="00A67EAD"/>
    <w:rsid w:val="00A70C7A"/>
    <w:rsid w:val="00A732A2"/>
    <w:rsid w:val="00A736C6"/>
    <w:rsid w:val="00A83360"/>
    <w:rsid w:val="00A925A6"/>
    <w:rsid w:val="00A92A9C"/>
    <w:rsid w:val="00AA051B"/>
    <w:rsid w:val="00AA13EE"/>
    <w:rsid w:val="00AB1CA0"/>
    <w:rsid w:val="00AC043C"/>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0AD4"/>
    <w:rsid w:val="00C16CAD"/>
    <w:rsid w:val="00C17354"/>
    <w:rsid w:val="00C17C7A"/>
    <w:rsid w:val="00C22B2B"/>
    <w:rsid w:val="00C22B7A"/>
    <w:rsid w:val="00C2450B"/>
    <w:rsid w:val="00C326D1"/>
    <w:rsid w:val="00C33223"/>
    <w:rsid w:val="00C34E6A"/>
    <w:rsid w:val="00C850A2"/>
    <w:rsid w:val="00C85393"/>
    <w:rsid w:val="00C92691"/>
    <w:rsid w:val="00C96B69"/>
    <w:rsid w:val="00CB2861"/>
    <w:rsid w:val="00CB3C24"/>
    <w:rsid w:val="00CC021C"/>
    <w:rsid w:val="00CC0F6A"/>
    <w:rsid w:val="00CD3A8D"/>
    <w:rsid w:val="00CD3F73"/>
    <w:rsid w:val="00CD5D5B"/>
    <w:rsid w:val="00CE4B1D"/>
    <w:rsid w:val="00CF5301"/>
    <w:rsid w:val="00D00932"/>
    <w:rsid w:val="00D02C3C"/>
    <w:rsid w:val="00D076EC"/>
    <w:rsid w:val="00D11B08"/>
    <w:rsid w:val="00D154BD"/>
    <w:rsid w:val="00D172B5"/>
    <w:rsid w:val="00D21795"/>
    <w:rsid w:val="00D23654"/>
    <w:rsid w:val="00D24307"/>
    <w:rsid w:val="00D24BC8"/>
    <w:rsid w:val="00D40574"/>
    <w:rsid w:val="00D50EA4"/>
    <w:rsid w:val="00D51871"/>
    <w:rsid w:val="00D666FB"/>
    <w:rsid w:val="00D730E2"/>
    <w:rsid w:val="00D76C49"/>
    <w:rsid w:val="00D814D2"/>
    <w:rsid w:val="00D82DDE"/>
    <w:rsid w:val="00D86F91"/>
    <w:rsid w:val="00D870E9"/>
    <w:rsid w:val="00D922B3"/>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45524"/>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B74A3"/>
    <w:rsid w:val="00FC144F"/>
    <w:rsid w:val="00FC545C"/>
    <w:rsid w:val="00FC5ABF"/>
    <w:rsid w:val="00FD0543"/>
    <w:rsid w:val="00FD1642"/>
    <w:rsid w:val="00FD47CD"/>
    <w:rsid w:val="00FD51B3"/>
    <w:rsid w:val="00FD684B"/>
    <w:rsid w:val="00FF4354"/>
    <w:rsid w:val="01CB2B0D"/>
    <w:rsid w:val="022074EE"/>
    <w:rsid w:val="023774A4"/>
    <w:rsid w:val="02D71F8B"/>
    <w:rsid w:val="031A0EAF"/>
    <w:rsid w:val="03261A0A"/>
    <w:rsid w:val="0369421F"/>
    <w:rsid w:val="036D1589"/>
    <w:rsid w:val="047E0BA0"/>
    <w:rsid w:val="06797E8B"/>
    <w:rsid w:val="068259B7"/>
    <w:rsid w:val="06A723FE"/>
    <w:rsid w:val="07051395"/>
    <w:rsid w:val="072C3EDE"/>
    <w:rsid w:val="072E1580"/>
    <w:rsid w:val="07430675"/>
    <w:rsid w:val="07E543E7"/>
    <w:rsid w:val="084904F6"/>
    <w:rsid w:val="08FB08E8"/>
    <w:rsid w:val="09211235"/>
    <w:rsid w:val="09907644"/>
    <w:rsid w:val="09F27795"/>
    <w:rsid w:val="0AC52045"/>
    <w:rsid w:val="0AE969E1"/>
    <w:rsid w:val="0AFE51AC"/>
    <w:rsid w:val="0B5A1592"/>
    <w:rsid w:val="0B6C62F2"/>
    <w:rsid w:val="0BB10821"/>
    <w:rsid w:val="0C0C3552"/>
    <w:rsid w:val="0C18493F"/>
    <w:rsid w:val="0C552DC5"/>
    <w:rsid w:val="0D22314C"/>
    <w:rsid w:val="0D667A9E"/>
    <w:rsid w:val="0DD60BB1"/>
    <w:rsid w:val="0E57090A"/>
    <w:rsid w:val="0ED774B5"/>
    <w:rsid w:val="100C41CE"/>
    <w:rsid w:val="10317FE1"/>
    <w:rsid w:val="105B5629"/>
    <w:rsid w:val="107614A5"/>
    <w:rsid w:val="108031C0"/>
    <w:rsid w:val="10936D19"/>
    <w:rsid w:val="10D07968"/>
    <w:rsid w:val="10EF4079"/>
    <w:rsid w:val="10F00B23"/>
    <w:rsid w:val="119F7437"/>
    <w:rsid w:val="11EC3299"/>
    <w:rsid w:val="12152DD4"/>
    <w:rsid w:val="13232D26"/>
    <w:rsid w:val="141B7A6A"/>
    <w:rsid w:val="15514EF3"/>
    <w:rsid w:val="15895CC7"/>
    <w:rsid w:val="16B128A7"/>
    <w:rsid w:val="16C467D4"/>
    <w:rsid w:val="16CB127D"/>
    <w:rsid w:val="16F47A71"/>
    <w:rsid w:val="17464E32"/>
    <w:rsid w:val="17BF1072"/>
    <w:rsid w:val="181F49D9"/>
    <w:rsid w:val="1870750D"/>
    <w:rsid w:val="1878728E"/>
    <w:rsid w:val="19486BE6"/>
    <w:rsid w:val="198A7CD7"/>
    <w:rsid w:val="19A6108A"/>
    <w:rsid w:val="1A2F73F8"/>
    <w:rsid w:val="1A392F4F"/>
    <w:rsid w:val="1A5551C0"/>
    <w:rsid w:val="1AC73C89"/>
    <w:rsid w:val="1AD73126"/>
    <w:rsid w:val="1B4F74BF"/>
    <w:rsid w:val="1B6F3537"/>
    <w:rsid w:val="1CAA74B2"/>
    <w:rsid w:val="1CFA144E"/>
    <w:rsid w:val="1D152682"/>
    <w:rsid w:val="1D240CFA"/>
    <w:rsid w:val="1E6F5A93"/>
    <w:rsid w:val="1E7D16C5"/>
    <w:rsid w:val="208445B3"/>
    <w:rsid w:val="212F3D05"/>
    <w:rsid w:val="21313842"/>
    <w:rsid w:val="21756AE0"/>
    <w:rsid w:val="22A41717"/>
    <w:rsid w:val="240C4147"/>
    <w:rsid w:val="2417698F"/>
    <w:rsid w:val="25752C22"/>
    <w:rsid w:val="268963D0"/>
    <w:rsid w:val="269C6EAF"/>
    <w:rsid w:val="273F611B"/>
    <w:rsid w:val="288853C9"/>
    <w:rsid w:val="2AF1076A"/>
    <w:rsid w:val="2B9560BE"/>
    <w:rsid w:val="2B976BBD"/>
    <w:rsid w:val="2B9A4D85"/>
    <w:rsid w:val="2BDD5CCA"/>
    <w:rsid w:val="2C7254A0"/>
    <w:rsid w:val="2D1C7A83"/>
    <w:rsid w:val="2D383096"/>
    <w:rsid w:val="2DF662A7"/>
    <w:rsid w:val="2E3303F9"/>
    <w:rsid w:val="2E531B21"/>
    <w:rsid w:val="2E662C0E"/>
    <w:rsid w:val="2EB31526"/>
    <w:rsid w:val="2F963035"/>
    <w:rsid w:val="305C21D8"/>
    <w:rsid w:val="312974C9"/>
    <w:rsid w:val="3166437C"/>
    <w:rsid w:val="3202183F"/>
    <w:rsid w:val="32A01B41"/>
    <w:rsid w:val="337028AD"/>
    <w:rsid w:val="345B25B8"/>
    <w:rsid w:val="357F068D"/>
    <w:rsid w:val="361669B5"/>
    <w:rsid w:val="36353221"/>
    <w:rsid w:val="363E0FBB"/>
    <w:rsid w:val="36747410"/>
    <w:rsid w:val="36C31C8A"/>
    <w:rsid w:val="376D2060"/>
    <w:rsid w:val="37E56B84"/>
    <w:rsid w:val="384273A3"/>
    <w:rsid w:val="385F7CDC"/>
    <w:rsid w:val="38B41E88"/>
    <w:rsid w:val="38CC38AC"/>
    <w:rsid w:val="39AD03D5"/>
    <w:rsid w:val="39DB031E"/>
    <w:rsid w:val="39E317F1"/>
    <w:rsid w:val="3A0E33D2"/>
    <w:rsid w:val="3A554DF1"/>
    <w:rsid w:val="3A714FD0"/>
    <w:rsid w:val="3A991187"/>
    <w:rsid w:val="3AD53FE6"/>
    <w:rsid w:val="3B194AFC"/>
    <w:rsid w:val="3B9E3CF4"/>
    <w:rsid w:val="3C336082"/>
    <w:rsid w:val="3D6911B8"/>
    <w:rsid w:val="403E574E"/>
    <w:rsid w:val="405F4BD5"/>
    <w:rsid w:val="40B65AD1"/>
    <w:rsid w:val="41176B24"/>
    <w:rsid w:val="41A874C8"/>
    <w:rsid w:val="41B62EBB"/>
    <w:rsid w:val="42726978"/>
    <w:rsid w:val="427D4A71"/>
    <w:rsid w:val="42BB0D20"/>
    <w:rsid w:val="431D43B8"/>
    <w:rsid w:val="4347464C"/>
    <w:rsid w:val="43595D9F"/>
    <w:rsid w:val="43D776C2"/>
    <w:rsid w:val="444C3D32"/>
    <w:rsid w:val="446A2A47"/>
    <w:rsid w:val="4562732A"/>
    <w:rsid w:val="45D30C35"/>
    <w:rsid w:val="46742BDC"/>
    <w:rsid w:val="468E2226"/>
    <w:rsid w:val="47025D9A"/>
    <w:rsid w:val="4726354F"/>
    <w:rsid w:val="474715BE"/>
    <w:rsid w:val="478722AB"/>
    <w:rsid w:val="47D61C85"/>
    <w:rsid w:val="491C6699"/>
    <w:rsid w:val="491F41C3"/>
    <w:rsid w:val="4A0E61E8"/>
    <w:rsid w:val="4A5E54F4"/>
    <w:rsid w:val="4A866B62"/>
    <w:rsid w:val="4B127D0A"/>
    <w:rsid w:val="4B2B4499"/>
    <w:rsid w:val="4B40746C"/>
    <w:rsid w:val="4B552DE2"/>
    <w:rsid w:val="4B652237"/>
    <w:rsid w:val="4BA073F4"/>
    <w:rsid w:val="4BB31EF5"/>
    <w:rsid w:val="4C432758"/>
    <w:rsid w:val="4D3F3986"/>
    <w:rsid w:val="4E8A2B59"/>
    <w:rsid w:val="4FA255A2"/>
    <w:rsid w:val="4FFE379B"/>
    <w:rsid w:val="50766BD9"/>
    <w:rsid w:val="50B22900"/>
    <w:rsid w:val="50D50703"/>
    <w:rsid w:val="51231AF0"/>
    <w:rsid w:val="51506512"/>
    <w:rsid w:val="5231768A"/>
    <w:rsid w:val="529E7577"/>
    <w:rsid w:val="52A01250"/>
    <w:rsid w:val="52C6080D"/>
    <w:rsid w:val="539655D2"/>
    <w:rsid w:val="540D7CD2"/>
    <w:rsid w:val="55B45324"/>
    <w:rsid w:val="56122101"/>
    <w:rsid w:val="56E56FF5"/>
    <w:rsid w:val="56EC6BD1"/>
    <w:rsid w:val="582B445E"/>
    <w:rsid w:val="59103CCB"/>
    <w:rsid w:val="59375ACC"/>
    <w:rsid w:val="59742AB1"/>
    <w:rsid w:val="5A022161"/>
    <w:rsid w:val="5AB92FDE"/>
    <w:rsid w:val="5B4C5F72"/>
    <w:rsid w:val="5B650F1D"/>
    <w:rsid w:val="5BC314BD"/>
    <w:rsid w:val="5C060D67"/>
    <w:rsid w:val="5D29283B"/>
    <w:rsid w:val="5D54515D"/>
    <w:rsid w:val="5DC5211F"/>
    <w:rsid w:val="5E05082D"/>
    <w:rsid w:val="5E80063C"/>
    <w:rsid w:val="5FC873B7"/>
    <w:rsid w:val="5FDD2CD3"/>
    <w:rsid w:val="601E15AD"/>
    <w:rsid w:val="60C44FE7"/>
    <w:rsid w:val="613531BA"/>
    <w:rsid w:val="61E764E0"/>
    <w:rsid w:val="624F7A71"/>
    <w:rsid w:val="62E73D86"/>
    <w:rsid w:val="63CC1A68"/>
    <w:rsid w:val="648C0809"/>
    <w:rsid w:val="649E35DB"/>
    <w:rsid w:val="64BD7CD4"/>
    <w:rsid w:val="64F84A8A"/>
    <w:rsid w:val="65062EEB"/>
    <w:rsid w:val="65F4155D"/>
    <w:rsid w:val="66133E65"/>
    <w:rsid w:val="661A662E"/>
    <w:rsid w:val="67747A81"/>
    <w:rsid w:val="677F2B21"/>
    <w:rsid w:val="67980758"/>
    <w:rsid w:val="67A93DA6"/>
    <w:rsid w:val="68622112"/>
    <w:rsid w:val="68B31DD6"/>
    <w:rsid w:val="693E0B9B"/>
    <w:rsid w:val="69533EB8"/>
    <w:rsid w:val="69607157"/>
    <w:rsid w:val="69FB4DF3"/>
    <w:rsid w:val="6A67687E"/>
    <w:rsid w:val="6B143732"/>
    <w:rsid w:val="6B287587"/>
    <w:rsid w:val="6B4429E5"/>
    <w:rsid w:val="6C070490"/>
    <w:rsid w:val="6C8A1050"/>
    <w:rsid w:val="6CF4393A"/>
    <w:rsid w:val="6D2C608D"/>
    <w:rsid w:val="6D5E55F9"/>
    <w:rsid w:val="6D607A96"/>
    <w:rsid w:val="6D93288C"/>
    <w:rsid w:val="6DF863BA"/>
    <w:rsid w:val="6E3A2773"/>
    <w:rsid w:val="6ECA7CCE"/>
    <w:rsid w:val="6FC56A46"/>
    <w:rsid w:val="6FEF0295"/>
    <w:rsid w:val="7071448E"/>
    <w:rsid w:val="7228574C"/>
    <w:rsid w:val="7367347C"/>
    <w:rsid w:val="737151A4"/>
    <w:rsid w:val="73A517DE"/>
    <w:rsid w:val="743D3A3E"/>
    <w:rsid w:val="74BA0319"/>
    <w:rsid w:val="74CF6651"/>
    <w:rsid w:val="74F5390F"/>
    <w:rsid w:val="76292175"/>
    <w:rsid w:val="76D450E2"/>
    <w:rsid w:val="779C3938"/>
    <w:rsid w:val="77C25D2B"/>
    <w:rsid w:val="78050375"/>
    <w:rsid w:val="783E4068"/>
    <w:rsid w:val="78D768A7"/>
    <w:rsid w:val="78E82668"/>
    <w:rsid w:val="79190667"/>
    <w:rsid w:val="79495D34"/>
    <w:rsid w:val="79680EC0"/>
    <w:rsid w:val="79F34C18"/>
    <w:rsid w:val="7A1D6D61"/>
    <w:rsid w:val="7A5E45FC"/>
    <w:rsid w:val="7ACC7BE1"/>
    <w:rsid w:val="7BB34B5F"/>
    <w:rsid w:val="7C0D57C7"/>
    <w:rsid w:val="7C9142F0"/>
    <w:rsid w:val="7C935C12"/>
    <w:rsid w:val="7CA83284"/>
    <w:rsid w:val="7CC171E2"/>
    <w:rsid w:val="7CD54313"/>
    <w:rsid w:val="7CED76A5"/>
    <w:rsid w:val="7D7517D2"/>
    <w:rsid w:val="7DB52B38"/>
    <w:rsid w:val="7DD33AF8"/>
    <w:rsid w:val="7E082CA7"/>
    <w:rsid w:val="7E2913C6"/>
    <w:rsid w:val="7EDC563A"/>
    <w:rsid w:val="7FB243A4"/>
    <w:rsid w:val="7FCC1C64"/>
    <w:rsid w:val="BED81308"/>
    <w:rsid w:val="FFF9BA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pPr>
    <w:rPr>
      <w:rFonts w:cs="Times New Roman"/>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92</Pages>
  <Words>25878</Words>
  <Characters>147506</Characters>
  <Lines>1229</Lines>
  <Paragraphs>346</Paragraphs>
  <TotalTime>17</TotalTime>
  <ScaleCrop>false</ScaleCrop>
  <LinksUpToDate>false</LinksUpToDate>
  <CharactersWithSpaces>173038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2017-04-21T03:37:00Z</dcterms:created>
  <dc:creator>Administrator</dc:creator>
  <cp:lastModifiedBy>gxxc</cp:lastModifiedBy>
  <cp:lastPrinted>2017-04-26T23:07:00Z</cp:lastPrinted>
  <dcterms:modified xsi:type="dcterms:W3CDTF">2023-05-19T11:45:05Z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141F7B79F53247C88A871D1D127A0540</vt:lpwstr>
  </property>
</Properties>
</file>