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eastAsia="仿宋_GB2312"/>
          <w:spacing w:val="-10"/>
          <w:sz w:val="32"/>
          <w:szCs w:val="32"/>
        </w:rPr>
      </w:pPr>
      <w:r>
        <w:rPr>
          <w:rFonts w:hint="eastAsia" w:ascii="Times New Roman" w:hAnsi="Times New Roman" w:eastAsia="仿宋_GB2312"/>
          <w:color w:val="000000"/>
          <w:sz w:val="32"/>
          <w:szCs w:val="32"/>
        </w:rPr>
        <w:t>柳建管字〔</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号</w:t>
      </w:r>
    </w:p>
    <w:p/>
    <w:p>
      <w:pPr>
        <w:widowControl/>
        <w:adjustRightInd w:val="0"/>
        <w:snapToGrid w:val="0"/>
        <w:ind w:firstLine="880"/>
        <w:jc w:val="center"/>
        <w:outlineLvl w:val="9"/>
        <w:rPr>
          <w:rFonts w:hint="eastAsia" w:ascii="方正小标宋简体" w:eastAsia="方正小标宋简体" w:hAnsiTheme="majorEastAsia"/>
          <w:bCs/>
          <w:sz w:val="44"/>
          <w:szCs w:val="44"/>
        </w:rPr>
      </w:pPr>
    </w:p>
    <w:p>
      <w:pPr>
        <w:snapToGrid w:val="0"/>
        <w:spacing w:beforeLines="0" w:afterLines="0" w:line="240" w:lineRule="auto"/>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柳州市住房和城乡建设局关于印发《柳州市</w:t>
      </w:r>
    </w:p>
    <w:p>
      <w:pPr>
        <w:snapToGrid w:val="0"/>
        <w:spacing w:beforeLines="0" w:afterLines="0" w:line="240" w:lineRule="auto"/>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建设工程监理企业履职考核办法》的通知</w:t>
      </w:r>
    </w:p>
    <w:p>
      <w:pPr>
        <w:snapToGrid w:val="0"/>
        <w:spacing w:beforeLines="0" w:afterLines="0" w:line="240" w:lineRule="auto"/>
        <w:jc w:val="center"/>
        <w:rPr>
          <w:rFonts w:hint="eastAsia" w:ascii="方正小标宋简体" w:hAnsi="方正小标宋简体" w:eastAsia="方正小标宋简体" w:cs="方正小标宋简体"/>
          <w:color w:val="000000" w:themeColor="text1"/>
          <w:sz w:val="44"/>
          <w:szCs w:val="44"/>
        </w:rPr>
      </w:pPr>
    </w:p>
    <w:p>
      <w:pPr>
        <w:snapToGrid w:val="0"/>
        <w:spacing w:beforeLines="0" w:afterLines="0" w:line="5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各有关单位：</w:t>
      </w:r>
    </w:p>
    <w:p>
      <w:pPr>
        <w:snapToGrid w:val="0"/>
        <w:spacing w:beforeLines="0" w:afterLines="0" w:line="500" w:lineRule="exact"/>
        <w:ind w:firstLine="640" w:firstLineChars="200"/>
        <w:jc w:val="left"/>
        <w:rPr>
          <w:rFonts w:ascii="仿宋_GB2312" w:eastAsia="仿宋_GB2312"/>
          <w:color w:val="000000"/>
          <w:sz w:val="32"/>
          <w:szCs w:val="32"/>
        </w:rPr>
      </w:pPr>
      <w:r>
        <w:rPr>
          <w:rFonts w:ascii="Times New Roman" w:hAnsi="Times New Roman" w:eastAsia="仿宋_GB2312"/>
          <w:color w:val="000000" w:themeColor="text1"/>
          <w:kern w:val="0"/>
          <w:sz w:val="32"/>
          <w:szCs w:val="32"/>
        </w:rPr>
        <w:t>为进一步规范我市建筑市场秩序，督促各工程监理企业提高自律意识、自控能力和整体素质，健全建筑监理企业的诚信评价体系，保障建筑工程质量和施工安全生产，我局</w:t>
      </w:r>
      <w:r>
        <w:rPr>
          <w:rFonts w:hint="eastAsia" w:ascii="Times New Roman" w:hAnsi="Times New Roman" w:eastAsia="仿宋_GB2312"/>
          <w:color w:val="000000" w:themeColor="text1"/>
          <w:kern w:val="0"/>
          <w:sz w:val="32"/>
          <w:szCs w:val="32"/>
        </w:rPr>
        <w:t>在</w:t>
      </w:r>
      <w:r>
        <w:rPr>
          <w:rFonts w:ascii="Times New Roman" w:hAnsi="Times New Roman" w:eastAsia="仿宋_GB2312"/>
          <w:color w:val="000000" w:themeColor="text1"/>
          <w:kern w:val="0"/>
          <w:sz w:val="32"/>
          <w:szCs w:val="32"/>
        </w:rPr>
        <w:t>《柳州市建设工程监理企业履职考核办法</w:t>
      </w:r>
      <w:r>
        <w:rPr>
          <w:rFonts w:hint="eastAsia" w:ascii="Times New Roman" w:hAnsi="Times New Roman" w:eastAsia="仿宋_GB2312"/>
          <w:color w:val="000000" w:themeColor="text1"/>
          <w:kern w:val="0"/>
          <w:sz w:val="32"/>
          <w:szCs w:val="32"/>
        </w:rPr>
        <w:t>（试行）</w:t>
      </w:r>
      <w:r>
        <w:rPr>
          <w:rFonts w:ascii="Times New Roman" w:hAnsi="Times New Roman" w:eastAsia="仿宋_GB2312"/>
          <w:color w:val="000000" w:themeColor="text1"/>
          <w:kern w:val="0"/>
          <w:sz w:val="32"/>
          <w:szCs w:val="32"/>
        </w:rPr>
        <w:t>》</w:t>
      </w:r>
      <w:r>
        <w:rPr>
          <w:rFonts w:hint="eastAsia" w:ascii="Times New Roman" w:hAnsi="Times New Roman" w:eastAsia="仿宋_GB2312"/>
          <w:color w:val="000000" w:themeColor="text1"/>
          <w:kern w:val="0"/>
          <w:sz w:val="32"/>
          <w:szCs w:val="32"/>
        </w:rPr>
        <w:t>（</w:t>
      </w:r>
      <w:r>
        <w:rPr>
          <w:rFonts w:ascii="Times New Roman" w:hAnsi="Times New Roman" w:eastAsia="仿宋_GB2312"/>
          <w:color w:val="000000" w:themeColor="text1"/>
          <w:sz w:val="32"/>
          <w:szCs w:val="32"/>
        </w:rPr>
        <w:t>柳建管字〔2016〕60号</w:t>
      </w:r>
      <w:r>
        <w:rPr>
          <w:rFonts w:hint="eastAsia" w:ascii="Times New Roman" w:hAnsi="Times New Roman" w:eastAsia="仿宋_GB2312"/>
          <w:color w:val="000000" w:themeColor="text1"/>
          <w:kern w:val="0"/>
          <w:sz w:val="32"/>
          <w:szCs w:val="32"/>
        </w:rPr>
        <w:t>）基础上，</w:t>
      </w:r>
      <w:r>
        <w:rPr>
          <w:rFonts w:hint="eastAsia" w:eastAsia="仿宋_GB2312"/>
          <w:color w:val="000000"/>
          <w:sz w:val="32"/>
          <w:szCs w:val="32"/>
        </w:rPr>
        <w:t>结合住建部、自治区住建厅相关规定和</w:t>
      </w:r>
      <w:r>
        <w:rPr>
          <w:rFonts w:eastAsia="仿宋_GB2312"/>
          <w:sz w:val="32"/>
          <w:szCs w:val="32"/>
        </w:rPr>
        <w:t>我市建筑业高质量发展相关</w:t>
      </w:r>
      <w:r>
        <w:rPr>
          <w:rFonts w:hint="eastAsia" w:eastAsia="仿宋_GB2312"/>
          <w:sz w:val="32"/>
          <w:szCs w:val="32"/>
        </w:rPr>
        <w:t>文件及</w:t>
      </w:r>
      <w:r>
        <w:rPr>
          <w:rFonts w:eastAsia="仿宋_GB2312"/>
          <w:sz w:val="32"/>
          <w:szCs w:val="32"/>
        </w:rPr>
        <w:t>建设工程质量安全管理现状</w:t>
      </w:r>
      <w:r>
        <w:rPr>
          <w:rFonts w:hint="eastAsia" w:eastAsia="仿宋_GB2312"/>
          <w:sz w:val="32"/>
          <w:szCs w:val="32"/>
        </w:rPr>
        <w:t>对原有考核办法进行了修订</w:t>
      </w:r>
      <w:r>
        <w:rPr>
          <w:rFonts w:eastAsia="仿宋_GB2312"/>
          <w:sz w:val="32"/>
          <w:szCs w:val="32"/>
        </w:rPr>
        <w:t>，</w:t>
      </w:r>
      <w:r>
        <w:rPr>
          <w:rFonts w:hint="eastAsia" w:eastAsia="仿宋_GB2312"/>
          <w:sz w:val="32"/>
          <w:szCs w:val="32"/>
        </w:rPr>
        <w:t>现将修订后的《</w:t>
      </w:r>
      <w:r>
        <w:rPr>
          <w:rFonts w:hint="eastAsia" w:ascii="仿宋_GB2312" w:eastAsia="仿宋_GB2312"/>
          <w:color w:val="000000"/>
          <w:sz w:val="32"/>
          <w:szCs w:val="32"/>
        </w:rPr>
        <w:t>柳州市建设工程监理企业履职考核办法</w:t>
      </w:r>
      <w:r>
        <w:rPr>
          <w:rFonts w:hint="eastAsia" w:ascii="仿宋_GB2312" w:eastAsia="仿宋_GB2312"/>
          <w:sz w:val="32"/>
          <w:szCs w:val="32"/>
        </w:rPr>
        <w:t>》</w:t>
      </w:r>
      <w:r>
        <w:rPr>
          <w:rFonts w:hint="eastAsia" w:eastAsia="仿宋_GB2312"/>
          <w:spacing w:val="-6"/>
          <w:sz w:val="32"/>
          <w:szCs w:val="32"/>
        </w:rPr>
        <w:t>印发给你们，请按通知要求执行。</w:t>
      </w:r>
    </w:p>
    <w:p>
      <w:pPr>
        <w:snapToGrid w:val="0"/>
        <w:spacing w:line="500" w:lineRule="exact"/>
        <w:ind w:firstLine="616" w:firstLineChars="200"/>
        <w:rPr>
          <w:rFonts w:eastAsia="仿宋_GB2312"/>
          <w:color w:val="000000" w:themeColor="text1"/>
          <w:spacing w:val="-6"/>
          <w:sz w:val="32"/>
          <w:szCs w:val="32"/>
        </w:rPr>
      </w:pPr>
    </w:p>
    <w:p>
      <w:pPr>
        <w:snapToGrid w:val="0"/>
        <w:spacing w:line="600" w:lineRule="exact"/>
        <w:ind w:firstLine="1232" w:firstLineChars="400"/>
        <w:rPr>
          <w:rFonts w:eastAsia="仿宋_GB2312"/>
          <w:color w:val="000000" w:themeColor="text1"/>
          <w:spacing w:val="-6"/>
          <w:sz w:val="32"/>
          <w:szCs w:val="32"/>
        </w:rPr>
      </w:pPr>
    </w:p>
    <w:p>
      <w:pPr>
        <w:snapToGrid w:val="0"/>
        <w:spacing w:line="312" w:lineRule="auto"/>
        <w:ind w:right="315" w:rightChars="150"/>
        <w:jc w:val="right"/>
        <w:rPr>
          <w:rFonts w:ascii="Times New Roman" w:hAnsi="Times New Roman" w:eastAsia="仿宋_GB2312"/>
          <w:sz w:val="32"/>
          <w:szCs w:val="32"/>
        </w:rPr>
      </w:pPr>
      <w:r>
        <w:rPr>
          <w:rFonts w:ascii="Times New Roman" w:hAnsi="Times New Roman" w:eastAsia="仿宋_GB2312"/>
          <w:sz w:val="32"/>
          <w:szCs w:val="32"/>
        </w:rPr>
        <w:t>柳州市住房和城乡建设局</w:t>
      </w:r>
    </w:p>
    <w:p>
      <w:pPr>
        <w:keepNext w:val="0"/>
        <w:keepLines w:val="0"/>
        <w:pageBreakBefore w:val="0"/>
        <w:widowControl w:val="0"/>
        <w:tabs>
          <w:tab w:val="left" w:pos="1800"/>
        </w:tabs>
        <w:kinsoku/>
        <w:wordWrap/>
        <w:overflowPunct/>
        <w:topLinePunct w:val="0"/>
        <w:autoSpaceDE/>
        <w:autoSpaceDN/>
        <w:bidi w:val="0"/>
        <w:adjustRightInd w:val="0"/>
        <w:snapToGrid w:val="0"/>
        <w:spacing w:line="312" w:lineRule="auto"/>
        <w:ind w:left="0" w:leftChars="0" w:right="1218" w:rightChars="580" w:firstLine="0" w:firstLineChars="0"/>
        <w:jc w:val="center"/>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年1月</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日</w:t>
      </w:r>
    </w:p>
    <w:p>
      <w:pPr>
        <w:keepNext w:val="0"/>
        <w:keepLines w:val="0"/>
        <w:pageBreakBefore w:val="0"/>
        <w:widowControl w:val="0"/>
        <w:tabs>
          <w:tab w:val="left" w:pos="1800"/>
        </w:tabs>
        <w:kinsoku/>
        <w:wordWrap/>
        <w:overflowPunct/>
        <w:topLinePunct w:val="0"/>
        <w:autoSpaceDE/>
        <w:autoSpaceDN/>
        <w:bidi w:val="0"/>
        <w:adjustRightInd w:val="0"/>
        <w:snapToGrid w:val="0"/>
        <w:spacing w:line="312" w:lineRule="auto"/>
        <w:ind w:left="0" w:leftChars="0" w:right="1218" w:rightChars="580" w:firstLine="0" w:firstLineChars="0"/>
        <w:jc w:val="center"/>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（网络传输）</w:t>
      </w: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pStyle w:val="2"/>
        <w:rPr>
          <w:rFonts w:hint="default"/>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hint="default" w:ascii="Times New Roman" w:hAnsi="Times New Roman" w:eastAsia="方正小标宋_GBK"/>
          <w:sz w:val="32"/>
          <w:szCs w:val="32"/>
        </w:rPr>
      </w:pPr>
    </w:p>
    <w:p>
      <w:pPr>
        <w:tabs>
          <w:tab w:val="left" w:pos="1800"/>
        </w:tabs>
        <w:adjustRightInd w:val="0"/>
        <w:snapToGrid w:val="0"/>
        <w:spacing w:line="300" w:lineRule="auto"/>
        <w:rPr>
          <w:rFonts w:ascii="Times New Roman" w:hAnsi="Times New Roman" w:eastAsia="仿宋_GB2312"/>
          <w:sz w:val="32"/>
          <w:szCs w:val="32"/>
        </w:rPr>
      </w:pPr>
      <w:r>
        <w:rPr>
          <w:rFonts w:hint="default" w:ascii="Times New Roman" w:hAnsi="Times New Roman" w:eastAsia="方正小标宋_GBK"/>
          <w:sz w:val="32"/>
          <w:szCs w:val="32"/>
        </w:rPr>
        <w:t>公开方式：</w:t>
      </w:r>
      <w:r>
        <w:rPr>
          <w:rFonts w:hint="eastAsia" w:ascii="Times New Roman" w:hAnsi="Times New Roman" w:eastAsia="仿宋_GB2312" w:cs="Times New Roman"/>
          <w:sz w:val="32"/>
          <w:szCs w:val="32"/>
          <w:lang w:eastAsia="zh-CN"/>
        </w:rPr>
        <w:t>主动</w:t>
      </w:r>
      <w:r>
        <w:rPr>
          <w:rFonts w:hint="default" w:ascii="Times New Roman" w:hAnsi="Times New Roman" w:eastAsia="仿宋_GB2312"/>
          <w:sz w:val="32"/>
          <w:szCs w:val="32"/>
        </w:rPr>
        <w:t>公开</w:t>
      </w:r>
    </w:p>
    <w:p>
      <w:pPr>
        <w:tabs>
          <w:tab w:val="left" w:pos="1800"/>
        </w:tabs>
        <w:adjustRightInd w:val="0"/>
        <w:snapToGrid w:val="0"/>
        <w:spacing w:line="17" w:lineRule="auto"/>
        <w:rPr>
          <w:rFonts w:ascii="Times New Roman" w:hAnsi="Times New Roman" w:eastAsia="仿宋_GB2312"/>
          <w:color w:val="000000"/>
          <w:sz w:val="28"/>
          <w:szCs w:val="28"/>
        </w:rPr>
      </w:pPr>
    </w:p>
    <w:p>
      <w:pPr>
        <w:snapToGrid w:val="0"/>
        <w:jc w:val="left"/>
        <w:rPr>
          <w:rFonts w:ascii="Times New Roman" w:hAnsi="黑体" w:eastAsia="黑体"/>
          <w:bCs/>
          <w:sz w:val="32"/>
          <w:szCs w:val="32"/>
        </w:rPr>
        <w:sectPr>
          <w:headerReference r:id="rId3" w:type="default"/>
          <w:footerReference r:id="rId4" w:type="default"/>
          <w:footerReference r:id="rId5" w:type="even"/>
          <w:pgSz w:w="11906" w:h="16838"/>
          <w:pgMar w:top="2098" w:right="1474" w:bottom="1440" w:left="1587" w:header="851" w:footer="992" w:gutter="0"/>
          <w:pgNumType w:fmt="numberInDash"/>
          <w:cols w:space="425" w:num="1"/>
          <w:docGrid w:type="lines" w:linePitch="312" w:charSpace="0"/>
        </w:sectPr>
      </w:pPr>
    </w:p>
    <w:p>
      <w:pPr>
        <w:jc w:val="center"/>
        <w:rPr>
          <w:rFonts w:ascii="方正小标宋简体" w:hAnsi="宋体" w:eastAsia="方正小标宋简体" w:cs="宋体"/>
          <w:color w:val="000000" w:themeColor="text1"/>
          <w:sz w:val="44"/>
          <w:szCs w:val="44"/>
        </w:rPr>
      </w:pPr>
      <w:r>
        <w:rPr>
          <w:rFonts w:hint="eastAsia" w:ascii="方正小标宋简体" w:hAnsi="宋体" w:eastAsia="方正小标宋简体" w:cs="宋体"/>
          <w:color w:val="000000" w:themeColor="text1"/>
          <w:sz w:val="44"/>
          <w:szCs w:val="44"/>
        </w:rPr>
        <w:t>柳州市建设工程监理企业履职考核办法</w:t>
      </w:r>
    </w:p>
    <w:p>
      <w:pPr>
        <w:snapToGrid w:val="0"/>
        <w:spacing w:beforeLines="100" w:line="360" w:lineRule="auto"/>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第一章  总  则</w:t>
      </w:r>
    </w:p>
    <w:p>
      <w:pPr>
        <w:widowControl/>
        <w:spacing w:line="60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 xml:space="preserve">第一条  </w:t>
      </w:r>
      <w:r>
        <w:rPr>
          <w:rFonts w:ascii="Times New Roman" w:hAnsi="Times New Roman" w:eastAsia="仿宋_GB2312"/>
          <w:color w:val="000000" w:themeColor="text1"/>
          <w:sz w:val="32"/>
          <w:szCs w:val="32"/>
        </w:rPr>
        <w:t>为全面提高建筑监理企业自律意识、自控能力和整体素质，建立优胜劣汰的市场管理机制，完善市场管理体系，确保建设工程质量和安全，根据《中华人民共和国建筑法》《中华人民共和国</w:t>
      </w:r>
      <w:bookmarkStart w:id="0" w:name="_GoBack"/>
      <w:bookmarkEnd w:id="0"/>
      <w:r>
        <w:rPr>
          <w:rFonts w:hint="eastAsia" w:ascii="Times New Roman" w:hAnsi="Times New Roman" w:eastAsia="仿宋_GB2312"/>
          <w:color w:val="000000" w:themeColor="text1"/>
          <w:sz w:val="32"/>
          <w:szCs w:val="32"/>
          <w:lang w:eastAsia="zh-CN"/>
        </w:rPr>
        <w:t>招标投标法</w:t>
      </w:r>
      <w:r>
        <w:rPr>
          <w:rFonts w:ascii="Times New Roman" w:hAnsi="Times New Roman" w:eastAsia="仿宋_GB2312"/>
          <w:color w:val="000000" w:themeColor="text1"/>
          <w:sz w:val="32"/>
          <w:szCs w:val="32"/>
        </w:rPr>
        <w:t>》《国务院办公厅关于社会信用体系建设的若干意见》等法律、法规、规章的相关规定，结合我市实际，制定本办法。</w:t>
      </w:r>
    </w:p>
    <w:p>
      <w:pPr>
        <w:widowControl/>
        <w:ind w:firstLine="688"/>
        <w:jc w:val="left"/>
        <w:rPr>
          <w:rFonts w:ascii="Times New Roman" w:hAnsi="Times New Roman" w:eastAsia="仿宋_GB2312"/>
          <w:color w:val="000000" w:themeColor="text1"/>
          <w:kern w:val="0"/>
          <w:sz w:val="32"/>
          <w:szCs w:val="32"/>
          <w:shd w:val="clear" w:color="auto" w:fill="FDFEFB"/>
        </w:rPr>
      </w:pPr>
    </w:p>
    <w:p>
      <w:pPr>
        <w:snapToGrid w:val="0"/>
        <w:spacing w:line="60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 xml:space="preserve">第二条  </w:t>
      </w:r>
      <w:r>
        <w:rPr>
          <w:rFonts w:ascii="Times New Roman" w:hAnsi="Times New Roman" w:eastAsia="仿宋_GB2312"/>
          <w:color w:val="000000" w:themeColor="text1"/>
          <w:sz w:val="32"/>
          <w:szCs w:val="32"/>
        </w:rPr>
        <w:t>本办法所称建筑监理企业履职考核，是对在柳州市市区范围内从事监理活动（市辖县区从事监理活动的企业经县区住建局同意，也可参加履职考核），对房屋建筑和市政基础设施工程建设实施监理的企业进行量化计分考核。市辖五县、柳东新区、北区生态（阳和）新区和柳江区住房和城乡建设行政主管部门可参照或另行制定考核办法。</w:t>
      </w:r>
    </w:p>
    <w:p>
      <w:pPr>
        <w:snapToGrid w:val="0"/>
        <w:spacing w:beforeLines="50" w:afterLines="50" w:line="600" w:lineRule="exact"/>
        <w:jc w:val="center"/>
        <w:rPr>
          <w:rFonts w:ascii="黑体" w:hAnsi="黑体" w:eastAsia="黑体" w:cs="黑体"/>
          <w:b/>
          <w:color w:val="000000" w:themeColor="text1"/>
          <w:sz w:val="32"/>
          <w:szCs w:val="32"/>
        </w:rPr>
      </w:pPr>
      <w:r>
        <w:rPr>
          <w:rFonts w:hint="eastAsia" w:ascii="黑体" w:hAnsi="黑体" w:eastAsia="黑体" w:cs="黑体"/>
          <w:color w:val="000000" w:themeColor="text1"/>
          <w:sz w:val="32"/>
          <w:szCs w:val="32"/>
        </w:rPr>
        <w:t>第二章  考核内容和标准</w:t>
      </w:r>
    </w:p>
    <w:p>
      <w:pPr>
        <w:ind w:firstLine="643" w:firstLineChars="200"/>
        <w:rPr>
          <w:rFonts w:ascii="Times New Roman" w:hAnsi="Times New Roman" w:eastAsia="仿宋_GB2312"/>
          <w:b/>
          <w:color w:val="000000" w:themeColor="text1"/>
          <w:sz w:val="32"/>
          <w:szCs w:val="32"/>
        </w:rPr>
      </w:pPr>
      <w:r>
        <w:rPr>
          <w:rFonts w:ascii="Times New Roman" w:hAnsi="Times New Roman" w:eastAsia="仿宋_GB2312"/>
          <w:b/>
          <w:color w:val="000000" w:themeColor="text1"/>
          <w:sz w:val="32"/>
          <w:szCs w:val="32"/>
        </w:rPr>
        <w:t>第三条</w:t>
      </w:r>
      <w:r>
        <w:rPr>
          <w:rFonts w:ascii="Times New Roman" w:hAnsi="Times New Roman" w:eastAsia="仿宋_GB2312"/>
          <w:color w:val="000000" w:themeColor="text1"/>
          <w:sz w:val="32"/>
          <w:szCs w:val="32"/>
        </w:rPr>
        <w:t xml:space="preserve"> </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监理企业履职考核由基本考核和专项考核两部分组成，其中基本考核由质量安全评价、业绩两项构成，总分值</w:t>
      </w:r>
      <w:r>
        <w:rPr>
          <w:rFonts w:hint="eastAsia" w:ascii="Times New Roman" w:hAnsi="Times New Roman" w:eastAsia="仿宋_GB2312"/>
          <w:color w:val="000000" w:themeColor="text1"/>
          <w:sz w:val="32"/>
          <w:szCs w:val="32"/>
        </w:rPr>
        <w:t>80</w:t>
      </w:r>
      <w:r>
        <w:rPr>
          <w:rFonts w:ascii="Times New Roman" w:hAnsi="Times New Roman" w:eastAsia="仿宋_GB2312"/>
          <w:color w:val="000000" w:themeColor="text1"/>
          <w:sz w:val="32"/>
          <w:szCs w:val="32"/>
        </w:rPr>
        <w:t>分，具体考核内容和标准如下：</w:t>
      </w:r>
      <w:r>
        <w:rPr>
          <w:rFonts w:ascii="Times New Roman" w:hAnsi="Times New Roman" w:eastAsia="仿宋_GB2312"/>
          <w:b/>
          <w:color w:val="000000" w:themeColor="text1"/>
          <w:sz w:val="32"/>
          <w:szCs w:val="32"/>
        </w:rPr>
        <w:t xml:space="preserve"> </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（一）质量安全评价（</w:t>
      </w:r>
      <w:r>
        <w:rPr>
          <w:rFonts w:hint="eastAsia" w:ascii="Times New Roman" w:hAnsi="Times New Roman" w:eastAsia="仿宋_GB2312"/>
          <w:color w:val="000000" w:themeColor="text1"/>
          <w:sz w:val="32"/>
          <w:szCs w:val="32"/>
        </w:rPr>
        <w:t>65</w:t>
      </w:r>
      <w:r>
        <w:rPr>
          <w:rFonts w:ascii="Times New Roman" w:hAnsi="Times New Roman" w:eastAsia="仿宋_GB2312"/>
          <w:color w:val="000000" w:themeColor="text1"/>
          <w:sz w:val="32"/>
          <w:szCs w:val="32"/>
        </w:rPr>
        <w:t>分）。依据企业每半年质量安全评价得分结果计算，具体计算分值为：（上半年现场质量安全评价得分+下半年现场质量安全评价得分）÷2×0.</w:t>
      </w:r>
      <w:r>
        <w:rPr>
          <w:rFonts w:hint="eastAsia" w:ascii="Times New Roman" w:hAnsi="Times New Roman" w:eastAsia="仿宋_GB2312"/>
          <w:color w:val="000000" w:themeColor="text1"/>
          <w:sz w:val="32"/>
          <w:szCs w:val="32"/>
        </w:rPr>
        <w:t>65</w:t>
      </w:r>
      <w:r>
        <w:rPr>
          <w:rFonts w:ascii="Times New Roman" w:hAnsi="Times New Roman" w:eastAsia="仿宋_GB2312"/>
          <w:color w:val="000000" w:themeColor="text1"/>
          <w:sz w:val="32"/>
          <w:szCs w:val="32"/>
        </w:rPr>
        <w:t>，缺项一次的按检查分乘以0.</w:t>
      </w:r>
      <w:r>
        <w:rPr>
          <w:rFonts w:hint="eastAsia" w:ascii="Times New Roman" w:hAnsi="Times New Roman" w:eastAsia="仿宋_GB2312"/>
          <w:color w:val="000000" w:themeColor="text1"/>
          <w:sz w:val="32"/>
          <w:szCs w:val="32"/>
        </w:rPr>
        <w:t>65</w:t>
      </w:r>
      <w:r>
        <w:rPr>
          <w:rFonts w:ascii="Times New Roman" w:hAnsi="Times New Roman" w:eastAsia="仿宋_GB2312"/>
          <w:color w:val="000000" w:themeColor="text1"/>
          <w:sz w:val="32"/>
          <w:szCs w:val="32"/>
        </w:rPr>
        <w:t>。</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（二）业绩（15分）。依据企业上一年度的</w:t>
      </w:r>
      <w:r>
        <w:rPr>
          <w:rFonts w:hint="eastAsia" w:ascii="Times New Roman" w:hAnsi="Times New Roman" w:eastAsia="仿宋_GB2312"/>
          <w:color w:val="000000" w:themeColor="text1"/>
          <w:sz w:val="32"/>
          <w:szCs w:val="32"/>
        </w:rPr>
        <w:t>生产经济指标</w:t>
      </w:r>
      <w:r>
        <w:rPr>
          <w:rFonts w:ascii="Times New Roman" w:hAnsi="Times New Roman" w:eastAsia="仿宋_GB2312"/>
          <w:color w:val="000000" w:themeColor="text1"/>
          <w:sz w:val="32"/>
          <w:szCs w:val="32"/>
        </w:rPr>
        <w:t>进行考核，具体计算分值为：排名第1-5名的得15分，排名第6-10名的得13分，排名第11-15名的得11分，排名第16-20名的得9分；排名20名之后且</w:t>
      </w:r>
      <w:r>
        <w:rPr>
          <w:rFonts w:hint="eastAsia" w:ascii="Times New Roman" w:hAnsi="Times New Roman" w:eastAsia="仿宋_GB2312"/>
          <w:color w:val="000000" w:themeColor="text1"/>
          <w:sz w:val="32"/>
          <w:szCs w:val="32"/>
        </w:rPr>
        <w:t>生产经济指标不为零</w:t>
      </w:r>
      <w:r>
        <w:rPr>
          <w:rFonts w:ascii="Times New Roman" w:hAnsi="Times New Roman" w:eastAsia="仿宋_GB2312"/>
          <w:color w:val="000000" w:themeColor="text1"/>
          <w:sz w:val="32"/>
          <w:szCs w:val="32"/>
        </w:rPr>
        <w:t>的企业得5分，</w:t>
      </w:r>
      <w:r>
        <w:rPr>
          <w:rFonts w:hint="eastAsia" w:ascii="Times New Roman" w:hAnsi="Times New Roman" w:eastAsia="仿宋_GB2312"/>
          <w:color w:val="000000" w:themeColor="text1"/>
          <w:sz w:val="32"/>
          <w:szCs w:val="32"/>
        </w:rPr>
        <w:t>生产经济指标为零</w:t>
      </w:r>
      <w:r>
        <w:rPr>
          <w:rFonts w:ascii="Times New Roman" w:hAnsi="Times New Roman" w:eastAsia="仿宋_GB2312"/>
          <w:color w:val="000000" w:themeColor="text1"/>
          <w:sz w:val="32"/>
          <w:szCs w:val="32"/>
        </w:rPr>
        <w:t>的企业不得分。</w:t>
      </w:r>
    </w:p>
    <w:p>
      <w:pPr>
        <w:widowControl/>
        <w:spacing w:line="60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第四条</w:t>
      </w:r>
      <w:r>
        <w:rPr>
          <w:rFonts w:ascii="Times New Roman" w:hAnsi="Times New Roman" w:eastAsia="仿宋_GB2312"/>
          <w:color w:val="000000" w:themeColor="text1"/>
          <w:sz w:val="32"/>
          <w:szCs w:val="32"/>
        </w:rPr>
        <w:t xml:space="preserve"> </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专项考核由加分考核和扣分考核两项构成，分别考核企业在年度履职过程中的正面和负面行为，加分和扣分分值累计计算，不设上下限。</w:t>
      </w:r>
    </w:p>
    <w:p>
      <w:pPr>
        <w:widowControl/>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（一）加分考核（累计加分，不设上限）。依据企业于每年1月20日前向</w:t>
      </w:r>
      <w:r>
        <w:rPr>
          <w:rFonts w:hint="eastAsia" w:ascii="Times New Roman" w:hAnsi="Times New Roman" w:eastAsia="仿宋_GB2312"/>
          <w:color w:val="000000" w:themeColor="text1"/>
          <w:sz w:val="32"/>
          <w:szCs w:val="32"/>
        </w:rPr>
        <w:t>市</w:t>
      </w:r>
      <w:r>
        <w:rPr>
          <w:rFonts w:ascii="Times New Roman" w:hAnsi="Times New Roman" w:eastAsia="仿宋_GB2312"/>
          <w:color w:val="000000" w:themeColor="text1"/>
          <w:sz w:val="32"/>
          <w:szCs w:val="32"/>
        </w:rPr>
        <w:t>住建局提供的上年度加分材料，具体考核内容和标准如下：</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1.积极响应市委、市政府的号召，履行社会责任，配合市级住房城乡建设行政主管部门完成各项抢险、救灾、扶贫、“创城巩卫”或其他社会公益活动等指标任务，获得通报表彰的，每次得5分。</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2.企业在我市市区范围内从事建筑业活动</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行业检查中获得各级住房和城乡建设行政主管部门通报表彰或表扬的，市级表扬的每次加2分，自治区级表扬的每次加3分，国家级表扬的每次加5分。</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3.在我市市区范围内的观摩项目中展示监理工作经验的，市级每次加2分，自治区级每次加3分。</w:t>
      </w:r>
    </w:p>
    <w:p>
      <w:pPr>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企业在我市市区范围内监理的工程项目获得国家级奖项（含鲁班奖、詹天佑奖、市政金杯示范工程、国家优质工程金质奖、部级安全标准化示范工地），每项得5分；获得自治区级奖项（含自治区级文明工地、广西优质工程），每项得3分；获得市级奖项（含市</w:t>
      </w:r>
      <w:r>
        <w:rPr>
          <w:rFonts w:hint="eastAsia" w:ascii="Times New Roman" w:hAnsi="Times New Roman" w:eastAsia="仿宋_GB2312"/>
          <w:color w:val="000000" w:themeColor="text1"/>
          <w:sz w:val="32"/>
          <w:szCs w:val="32"/>
        </w:rPr>
        <w:t>安全</w:t>
      </w:r>
      <w:r>
        <w:rPr>
          <w:rFonts w:ascii="Times New Roman" w:hAnsi="Times New Roman" w:eastAsia="仿宋_GB2312"/>
          <w:color w:val="000000" w:themeColor="text1"/>
          <w:sz w:val="32"/>
          <w:szCs w:val="32"/>
        </w:rPr>
        <w:t>文明</w:t>
      </w:r>
      <w:r>
        <w:rPr>
          <w:rFonts w:hint="eastAsia" w:ascii="Times New Roman" w:hAnsi="Times New Roman" w:eastAsia="仿宋_GB2312"/>
          <w:color w:val="000000" w:themeColor="text1"/>
          <w:sz w:val="32"/>
          <w:szCs w:val="32"/>
        </w:rPr>
        <w:t>标准化</w:t>
      </w:r>
      <w:r>
        <w:rPr>
          <w:rFonts w:ascii="Times New Roman" w:hAnsi="Times New Roman" w:eastAsia="仿宋_GB2312"/>
          <w:color w:val="000000" w:themeColor="text1"/>
          <w:sz w:val="32"/>
          <w:szCs w:val="32"/>
        </w:rPr>
        <w:t xml:space="preserve">工地、龙城杯），每项得2分。 </w:t>
      </w:r>
    </w:p>
    <w:p>
      <w:pPr>
        <w:widowControl/>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（二）扣分考核(累计扣分，不设下限)。依据各级政府或住房城乡建设主管部门的通报或公示，具体考核内容和标准如下：</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1.监理企业在我市市区范围内从事建筑业活动、行业检查中，因施工现场质量安全管理方面履职不到位，</w:t>
      </w:r>
      <w:r>
        <w:rPr>
          <w:rFonts w:ascii="Times New Roman" w:hAnsi="Times New Roman" w:eastAsia="仿宋_GB2312"/>
          <w:bCs/>
          <w:color w:val="000000" w:themeColor="text1"/>
          <w:sz w:val="32"/>
          <w:szCs w:val="32"/>
        </w:rPr>
        <w:t>中标人无正当理由不与招标人签订合同的</w:t>
      </w:r>
      <w:r>
        <w:rPr>
          <w:rFonts w:ascii="Times New Roman" w:hAnsi="Times New Roman" w:eastAsia="仿宋_GB2312"/>
          <w:color w:val="000000" w:themeColor="text1"/>
          <w:sz w:val="32"/>
          <w:szCs w:val="32"/>
        </w:rPr>
        <w:t>，或因招投标、资质及市场行为不规范等，受到各级政府或住房城乡建设主管部门（包括工程质量安全监督机构）通报批评、责令</w:t>
      </w:r>
      <w:r>
        <w:rPr>
          <w:rFonts w:ascii="Times New Roman" w:hAnsi="Times New Roman" w:eastAsia="仿宋_GB2312"/>
          <w:bCs/>
          <w:color w:val="000000" w:themeColor="text1"/>
          <w:sz w:val="32"/>
          <w:szCs w:val="32"/>
        </w:rPr>
        <w:t>停工</w:t>
      </w:r>
      <w:r>
        <w:rPr>
          <w:rFonts w:ascii="Times New Roman" w:hAnsi="Times New Roman" w:eastAsia="仿宋_GB2312"/>
          <w:color w:val="000000" w:themeColor="text1"/>
          <w:sz w:val="32"/>
          <w:szCs w:val="32"/>
        </w:rPr>
        <w:t>整改或受到相关部门行政处罚的，国家级每次扣5分，自治区级每次扣3分，市级每次扣2分。</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2.企业未按要求参加住房城乡建设主管部门召开的安全生产例会、视频会议和项目约谈会等会议，无故（未经批准）缺席被市级住房城乡建设主管部门通报批评的，每次扣2分。</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3.企业未按住房和城乡建设行政主管部门或行业监督机构要求报送有关安全生产自检自查工作情况报告或总结的，每次扣1分。</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4.企业未按要求配合开展迎接上级工程质量、安全生产等各项检查工作，受到市级相关部门通报批评或责令整改的，每次扣2分。</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5. 所监理的在柳工程项目发生建筑施工安全生产责任事故，造成死亡1人</w:t>
      </w:r>
      <w:r>
        <w:rPr>
          <w:rFonts w:hint="eastAsia" w:ascii="Times New Roman" w:hAnsi="Times New Roman" w:eastAsia="仿宋_GB2312"/>
          <w:color w:val="000000" w:themeColor="text1"/>
          <w:sz w:val="32"/>
          <w:szCs w:val="32"/>
        </w:rPr>
        <w:t>及以上的一般</w:t>
      </w:r>
      <w:r>
        <w:rPr>
          <w:rFonts w:ascii="Times New Roman" w:hAnsi="Times New Roman" w:eastAsia="仿宋_GB2312"/>
          <w:color w:val="000000" w:themeColor="text1"/>
          <w:sz w:val="32"/>
          <w:szCs w:val="32"/>
        </w:rPr>
        <w:t>安全生产责任事故的，扣5分；发生较大及以上安全生产责任事故的</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扣</w:t>
      </w:r>
      <w:r>
        <w:rPr>
          <w:rFonts w:hint="eastAsia" w:ascii="Times New Roman" w:hAnsi="Times New Roman" w:eastAsia="仿宋_GB2312"/>
          <w:color w:val="000000" w:themeColor="text1"/>
          <w:sz w:val="32"/>
          <w:szCs w:val="32"/>
        </w:rPr>
        <w:t>15</w:t>
      </w:r>
      <w:r>
        <w:rPr>
          <w:rFonts w:ascii="Times New Roman" w:hAnsi="Times New Roman" w:eastAsia="仿宋_GB2312"/>
          <w:color w:val="000000" w:themeColor="text1"/>
          <w:sz w:val="32"/>
          <w:szCs w:val="32"/>
        </w:rPr>
        <w:t>分。</w:t>
      </w:r>
    </w:p>
    <w:p>
      <w:pPr>
        <w:snapToGrid w:val="0"/>
        <w:spacing w:line="6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6. 企业在我市市区范围内承揽的工程项目发生建筑施工安全事故，经</w:t>
      </w:r>
      <w:r>
        <w:rPr>
          <w:rFonts w:ascii="Times New Roman" w:hAnsi="Times New Roman" w:eastAsia="仿宋_GB2312"/>
          <w:bCs/>
          <w:color w:val="000000" w:themeColor="text1"/>
          <w:kern w:val="0"/>
          <w:sz w:val="32"/>
          <w:szCs w:val="32"/>
        </w:rPr>
        <w:t>安监部门定为非安全生产安全责任事故的，企业按每死亡一人扣2分计。</w:t>
      </w:r>
    </w:p>
    <w:p>
      <w:pPr>
        <w:snapToGrid w:val="0"/>
        <w:spacing w:line="60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第五条</w:t>
      </w:r>
      <w:r>
        <w:rPr>
          <w:rFonts w:ascii="Times New Roman" w:hAnsi="Times New Roman" w:eastAsia="仿宋_GB2312"/>
          <w:color w:val="000000" w:themeColor="text1"/>
          <w:sz w:val="32"/>
          <w:szCs w:val="32"/>
        </w:rPr>
        <w:t xml:space="preserve"> </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首次进入柳州市区市范围内或在柳州市区市范围内新申请的建筑监理企业履职考核分数为0分。</w:t>
      </w:r>
    </w:p>
    <w:p>
      <w:pPr>
        <w:snapToGrid w:val="0"/>
        <w:spacing w:beforeLines="50" w:afterLines="50" w:line="60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第三章  考核结果评定和应用</w:t>
      </w:r>
    </w:p>
    <w:p>
      <w:pPr>
        <w:snapToGrid w:val="0"/>
        <w:spacing w:line="60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第六条</w:t>
      </w:r>
      <w:r>
        <w:rPr>
          <w:rFonts w:ascii="Times New Roman" w:hAnsi="Times New Roman" w:eastAsia="仿宋_GB2312"/>
          <w:color w:val="000000" w:themeColor="text1"/>
          <w:sz w:val="32"/>
          <w:szCs w:val="32"/>
        </w:rPr>
        <w:t xml:space="preserve"> </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履职考核分为优秀、良好、中等、一般、较差五个等级，年终综合考评成绩与评定等次区分如下：90分及以上评为优秀；90分以下至80分及以上为良好；80分以下至70分及以上为中等；70分以下至60分及以上为合格；60分以下评为较差。</w:t>
      </w:r>
    </w:p>
    <w:p>
      <w:pPr>
        <w:snapToGrid w:val="0"/>
        <w:spacing w:line="60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第七条</w:t>
      </w:r>
      <w:r>
        <w:rPr>
          <w:rFonts w:ascii="Times New Roman" w:hAnsi="Times New Roman" w:eastAsia="仿宋_GB2312"/>
          <w:color w:val="000000" w:themeColor="text1"/>
          <w:sz w:val="32"/>
          <w:szCs w:val="32"/>
        </w:rPr>
        <w:t xml:space="preserve"> </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对年度综合考评获得优秀的企业，将给予通报表扬，考核分数在60分以下的企业，将责令其进行整改并给予通报批评；对履职严重不到位的企业给予停业整顿处理。</w:t>
      </w:r>
    </w:p>
    <w:p>
      <w:pPr>
        <w:snapToGrid w:val="0"/>
        <w:spacing w:line="60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第八条</w:t>
      </w:r>
      <w:r>
        <w:rPr>
          <w:rFonts w:ascii="Times New Roman" w:hAnsi="Times New Roman" w:eastAsia="仿宋_GB2312"/>
          <w:color w:val="000000" w:themeColor="text1"/>
          <w:sz w:val="32"/>
          <w:szCs w:val="32"/>
        </w:rPr>
        <w:t xml:space="preserve"> </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市级房屋建筑及市政基础设施工程招标时，企业履职考核评价结果按照相关规定计入投标总分。联合体参与投标的，按照联合体中本地企业考评结果中的最低企业认定。</w:t>
      </w:r>
    </w:p>
    <w:p>
      <w:pPr>
        <w:snapToGrid w:val="0"/>
        <w:spacing w:line="60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第九条</w:t>
      </w:r>
      <w:r>
        <w:rPr>
          <w:rFonts w:ascii="Times New Roman" w:hAnsi="Times New Roman" w:eastAsia="仿宋_GB2312"/>
          <w:color w:val="000000" w:themeColor="text1"/>
          <w:sz w:val="32"/>
          <w:szCs w:val="32"/>
        </w:rPr>
        <w:t xml:space="preserve"> </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年度综合考评获得优秀的本地企业，可按“优秀本地企业”享受住房和城乡建设行政主管部门出台的促进建筑业高质量发展的各项鼓励政策。</w:t>
      </w:r>
    </w:p>
    <w:p>
      <w:pPr>
        <w:snapToGrid w:val="0"/>
        <w:spacing w:beforeLines="50" w:afterLines="50" w:line="600"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第四章  附则</w:t>
      </w:r>
    </w:p>
    <w:p>
      <w:pPr>
        <w:snapToGrid w:val="0"/>
        <w:spacing w:line="60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第十条</w:t>
      </w:r>
      <w:r>
        <w:rPr>
          <w:rFonts w:ascii="Times New Roman" w:hAnsi="Times New Roman" w:eastAsia="仿宋_GB2312"/>
          <w:color w:val="000000" w:themeColor="text1"/>
          <w:sz w:val="32"/>
          <w:szCs w:val="32"/>
        </w:rPr>
        <w:t xml:space="preserve"> </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本考核办法从发文之日起执行，原“柳建管字〔2016〕60号”同时废止。</w:t>
      </w:r>
    </w:p>
    <w:p>
      <w:pPr>
        <w:snapToGrid w:val="0"/>
        <w:spacing w:line="600" w:lineRule="exact"/>
        <w:ind w:firstLine="640" w:firstLineChars="200"/>
        <w:rPr>
          <w:rFonts w:ascii="Times New Roman" w:hAnsi="Times New Roman" w:eastAsia="仿宋_GB2312"/>
          <w:color w:val="000000" w:themeColor="text1"/>
          <w:sz w:val="32"/>
          <w:szCs w:val="32"/>
        </w:rPr>
      </w:pPr>
    </w:p>
    <w:p>
      <w:pPr>
        <w:widowControl/>
        <w:spacing w:line="640" w:lineRule="atLeast"/>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附件：柳州市建筑监理企业履职考核信息申报表</w:t>
      </w:r>
    </w:p>
    <w:p>
      <w:pPr>
        <w:snapToGrid w:val="0"/>
        <w:spacing w:line="600" w:lineRule="exact"/>
        <w:ind w:firstLine="640" w:firstLineChars="200"/>
        <w:rPr>
          <w:rFonts w:eastAsia="仿宋_GB2312"/>
          <w:color w:val="000000" w:themeColor="text1"/>
          <w:sz w:val="32"/>
        </w:rPr>
      </w:pPr>
    </w:p>
    <w:p>
      <w:pPr>
        <w:snapToGrid w:val="0"/>
        <w:spacing w:line="600" w:lineRule="exact"/>
        <w:ind w:firstLine="640" w:firstLineChars="200"/>
        <w:rPr>
          <w:rFonts w:eastAsia="仿宋_GB2312"/>
          <w:color w:val="000000" w:themeColor="text1"/>
          <w:sz w:val="32"/>
        </w:rPr>
      </w:pPr>
    </w:p>
    <w:p>
      <w:pPr>
        <w:snapToGrid w:val="0"/>
        <w:spacing w:line="600" w:lineRule="exact"/>
        <w:ind w:firstLine="640" w:firstLineChars="200"/>
        <w:rPr>
          <w:rFonts w:eastAsia="仿宋_GB2312"/>
          <w:color w:val="000000" w:themeColor="text1"/>
          <w:sz w:val="32"/>
        </w:rPr>
        <w:sectPr>
          <w:pgSz w:w="11906" w:h="16838"/>
          <w:pgMar w:top="2098" w:right="1474" w:bottom="1440" w:left="1587" w:header="851" w:footer="992" w:gutter="0"/>
          <w:pgNumType w:fmt="numberInDash"/>
          <w:cols w:space="425" w:num="1"/>
          <w:docGrid w:type="lines" w:linePitch="312" w:charSpace="0"/>
        </w:sectPr>
      </w:pPr>
    </w:p>
    <w:p>
      <w:pPr>
        <w:widowControl/>
        <w:spacing w:line="592" w:lineRule="atLeast"/>
        <w:jc w:val="lef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w:t>
      </w:r>
    </w:p>
    <w:p>
      <w:pPr>
        <w:widowControl/>
        <w:spacing w:line="640" w:lineRule="atLeast"/>
        <w:jc w:val="center"/>
        <w:rPr>
          <w:rFonts w:ascii="创艺简标宋" w:eastAsia="创艺简标宋"/>
          <w:color w:val="000000" w:themeColor="text1"/>
          <w:sz w:val="36"/>
          <w:szCs w:val="36"/>
        </w:rPr>
      </w:pPr>
      <w:r>
        <w:rPr>
          <w:rFonts w:hint="eastAsia" w:ascii="创艺简标宋" w:eastAsia="创艺简标宋"/>
          <w:color w:val="000000" w:themeColor="text1"/>
          <w:sz w:val="36"/>
          <w:szCs w:val="36"/>
        </w:rPr>
        <w:t>柳州市建筑监理企业履职考核信息申报表</w:t>
      </w:r>
    </w:p>
    <w:tbl>
      <w:tblPr>
        <w:tblStyle w:val="9"/>
        <w:tblpPr w:leftFromText="180" w:rightFromText="180" w:vertAnchor="text" w:horzAnchor="page" w:tblpX="1872" w:tblpY="1163"/>
        <w:tblOverlap w:val="never"/>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4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申报信息全称</w:t>
            </w:r>
          </w:p>
        </w:tc>
        <w:tc>
          <w:tcPr>
            <w:tcW w:w="5670" w:type="dxa"/>
            <w:tcBorders>
              <w:top w:val="single" w:color="auto" w:sz="4" w:space="0"/>
              <w:left w:val="single" w:color="auto" w:sz="4" w:space="0"/>
              <w:bottom w:val="single" w:color="auto" w:sz="4" w:space="0"/>
              <w:right w:val="single" w:color="auto" w:sz="4" w:space="0"/>
            </w:tcBorders>
          </w:tcPr>
          <w:p>
            <w:pPr>
              <w:snapToGrid w:val="0"/>
              <w:jc w:val="left"/>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申报信息类别</w:t>
            </w:r>
          </w:p>
        </w:tc>
        <w:tc>
          <w:tcPr>
            <w:tcW w:w="5670" w:type="dxa"/>
            <w:tcBorders>
              <w:top w:val="single" w:color="auto" w:sz="4" w:space="0"/>
              <w:left w:val="single" w:color="auto" w:sz="4" w:space="0"/>
              <w:bottom w:val="single" w:color="auto" w:sz="4" w:space="0"/>
              <w:right w:val="single" w:color="auto" w:sz="4" w:space="0"/>
            </w:tcBorders>
          </w:tcPr>
          <w:p>
            <w:pPr>
              <w:widowControl/>
              <w:snapToGrid w:val="0"/>
              <w:jc w:val="left"/>
              <w:rPr>
                <w:rFonts w:ascii="仿宋_GB2312" w:hAnsi="宋体" w:eastAsia="仿宋_GB2312" w:cs="宋体"/>
                <w:color w:val="000000" w:themeColor="text1"/>
                <w:kern w:val="0"/>
                <w:sz w:val="30"/>
                <w:szCs w:val="30"/>
              </w:rPr>
            </w:pPr>
            <w:r>
              <w:rPr>
                <w:rFonts w:hint="eastAsia" w:ascii="仿宋_GB2312" w:hAnsi="宋体" w:eastAsia="仿宋_GB2312" w:cs="宋体"/>
                <w:color w:val="000000" w:themeColor="text1"/>
                <w:kern w:val="0"/>
                <w:sz w:val="30"/>
                <w:szCs w:val="30"/>
              </w:rPr>
              <w:t>□业绩信息</w:t>
            </w:r>
          </w:p>
          <w:p>
            <w:pPr>
              <w:widowControl/>
              <w:snapToGrid w:val="0"/>
              <w:jc w:val="left"/>
              <w:rPr>
                <w:rFonts w:ascii="仿宋_GB2312" w:hAnsi="宋体" w:eastAsia="仿宋_GB2312" w:cs="宋体"/>
                <w:color w:val="000000" w:themeColor="text1"/>
                <w:kern w:val="0"/>
                <w:sz w:val="30"/>
                <w:szCs w:val="30"/>
              </w:rPr>
            </w:pPr>
            <w:r>
              <w:rPr>
                <w:rFonts w:hint="eastAsia" w:ascii="仿宋_GB2312" w:hAnsi="宋体" w:eastAsia="仿宋_GB2312" w:cs="宋体"/>
                <w:color w:val="000000" w:themeColor="text1"/>
                <w:kern w:val="0"/>
                <w:sz w:val="30"/>
                <w:szCs w:val="30"/>
              </w:rPr>
              <w:t>□纳税信息</w:t>
            </w:r>
          </w:p>
          <w:p>
            <w:pPr>
              <w:widowControl/>
              <w:snapToGrid w:val="0"/>
              <w:jc w:val="left"/>
              <w:rPr>
                <w:rFonts w:ascii="宋体" w:hAnsi="宋体" w:cs="宋体"/>
                <w:color w:val="000000" w:themeColor="text1"/>
                <w:kern w:val="0"/>
                <w:sz w:val="19"/>
                <w:szCs w:val="19"/>
              </w:rPr>
            </w:pPr>
            <w:r>
              <w:rPr>
                <w:rFonts w:hint="eastAsia" w:ascii="仿宋_GB2312" w:hAnsi="宋体" w:eastAsia="仿宋_GB2312" w:cs="宋体"/>
                <w:color w:val="000000" w:themeColor="text1"/>
                <w:kern w:val="0"/>
                <w:sz w:val="30"/>
                <w:szCs w:val="30"/>
              </w:rPr>
              <w:t>□奖励信息</w:t>
            </w:r>
          </w:p>
          <w:p>
            <w:pPr>
              <w:snapToGrid w:val="0"/>
              <w:jc w:val="left"/>
              <w:rPr>
                <w:rFonts w:ascii="仿宋_GB2312" w:hAnsi="宋体" w:eastAsia="仿宋_GB2312" w:cs="宋体"/>
                <w:color w:val="000000" w:themeColor="text1"/>
                <w:kern w:val="0"/>
                <w:sz w:val="30"/>
                <w:szCs w:val="30"/>
              </w:rPr>
            </w:pPr>
            <w:r>
              <w:rPr>
                <w:rFonts w:hint="eastAsia" w:ascii="仿宋_GB2312" w:hAnsi="宋体" w:eastAsia="仿宋_GB2312" w:cs="宋体"/>
                <w:color w:val="000000" w:themeColor="text1"/>
                <w:kern w:val="0"/>
                <w:sz w:val="30"/>
                <w:szCs w:val="30"/>
              </w:rPr>
              <w:t>□不良信息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24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载明申报信息的文件名称及文号</w:t>
            </w:r>
          </w:p>
        </w:tc>
        <w:tc>
          <w:tcPr>
            <w:tcW w:w="5670" w:type="dxa"/>
            <w:tcBorders>
              <w:top w:val="single" w:color="auto" w:sz="4" w:space="0"/>
              <w:left w:val="single" w:color="auto" w:sz="4" w:space="0"/>
              <w:bottom w:val="single" w:color="auto" w:sz="4" w:space="0"/>
              <w:right w:val="single" w:color="auto" w:sz="4" w:space="0"/>
            </w:tcBorders>
          </w:tcPr>
          <w:p>
            <w:pPr>
              <w:snapToGrid w:val="0"/>
              <w:jc w:val="left"/>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24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载明申报信息的文件的发布主体</w:t>
            </w:r>
          </w:p>
        </w:tc>
        <w:tc>
          <w:tcPr>
            <w:tcW w:w="5670" w:type="dxa"/>
            <w:tcBorders>
              <w:top w:val="single" w:color="auto" w:sz="4" w:space="0"/>
              <w:left w:val="single" w:color="auto" w:sz="4" w:space="0"/>
              <w:bottom w:val="single" w:color="auto" w:sz="4" w:space="0"/>
              <w:right w:val="single" w:color="auto" w:sz="4" w:space="0"/>
            </w:tcBorders>
          </w:tcPr>
          <w:p>
            <w:pPr>
              <w:snapToGrid w:val="0"/>
              <w:jc w:val="left"/>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240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000000" w:themeColor="text1"/>
                <w:kern w:val="0"/>
                <w:sz w:val="19"/>
                <w:szCs w:val="19"/>
              </w:rPr>
            </w:pPr>
            <w:r>
              <w:rPr>
                <w:rFonts w:hint="eastAsia" w:ascii="仿宋_GB2312" w:hAnsi="宋体" w:eastAsia="仿宋_GB2312" w:cs="宋体"/>
                <w:color w:val="000000" w:themeColor="text1"/>
                <w:kern w:val="0"/>
                <w:sz w:val="30"/>
                <w:szCs w:val="30"/>
              </w:rPr>
              <w:t>提供的附件材料清单</w:t>
            </w:r>
          </w:p>
        </w:tc>
        <w:tc>
          <w:tcPr>
            <w:tcW w:w="5670" w:type="dxa"/>
            <w:tcBorders>
              <w:top w:val="single" w:color="auto" w:sz="4" w:space="0"/>
              <w:left w:val="single" w:color="auto" w:sz="4" w:space="0"/>
              <w:bottom w:val="single" w:color="auto" w:sz="4" w:space="0"/>
              <w:right w:val="single" w:color="auto" w:sz="4" w:space="0"/>
            </w:tcBorders>
          </w:tcPr>
          <w:p>
            <w:pPr>
              <w:snapToGrid w:val="0"/>
              <w:jc w:val="left"/>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24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需说明的情况</w:t>
            </w:r>
          </w:p>
        </w:tc>
        <w:tc>
          <w:tcPr>
            <w:tcW w:w="5670" w:type="dxa"/>
            <w:tcBorders>
              <w:top w:val="single" w:color="auto" w:sz="4" w:space="0"/>
              <w:left w:val="single" w:color="auto" w:sz="4" w:space="0"/>
              <w:bottom w:val="single" w:color="auto" w:sz="4" w:space="0"/>
              <w:right w:val="single" w:color="auto" w:sz="4" w:space="0"/>
            </w:tcBorders>
          </w:tcPr>
          <w:p>
            <w:pPr>
              <w:snapToGrid w:val="0"/>
              <w:jc w:val="left"/>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4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申报企业联系人及电话</w:t>
            </w:r>
          </w:p>
        </w:tc>
        <w:tc>
          <w:tcPr>
            <w:tcW w:w="5670" w:type="dxa"/>
            <w:tcBorders>
              <w:top w:val="single" w:color="auto" w:sz="4" w:space="0"/>
              <w:left w:val="single" w:color="auto" w:sz="4" w:space="0"/>
              <w:bottom w:val="single" w:color="auto" w:sz="4" w:space="0"/>
              <w:right w:val="single" w:color="auto" w:sz="4" w:space="0"/>
            </w:tcBorders>
          </w:tcPr>
          <w:p>
            <w:pPr>
              <w:snapToGrid w:val="0"/>
              <w:jc w:val="left"/>
              <w:rPr>
                <w:rFonts w:ascii="仿宋_GB2312" w:hAnsi="宋体" w:eastAsia="仿宋_GB2312" w:cs="宋体"/>
                <w:color w:val="000000" w:themeColor="text1"/>
                <w:kern w:val="0"/>
                <w:sz w:val="34"/>
                <w:szCs w:val="34"/>
              </w:rPr>
            </w:pPr>
          </w:p>
        </w:tc>
      </w:tr>
    </w:tbl>
    <w:p>
      <w:pPr>
        <w:widowControl/>
        <w:spacing w:line="640" w:lineRule="atLeast"/>
        <w:jc w:val="left"/>
        <w:rPr>
          <w:rFonts w:ascii="宋体" w:hAnsi="宋体" w:cs="宋体"/>
          <w:color w:val="000000" w:themeColor="text1"/>
          <w:kern w:val="0"/>
          <w:sz w:val="19"/>
          <w:szCs w:val="19"/>
        </w:rPr>
      </w:pPr>
      <w:r>
        <w:rPr>
          <w:rFonts w:hint="eastAsia" w:ascii="仿宋_GB2312" w:hAnsi="宋体" w:eastAsia="仿宋_GB2312" w:cs="宋体"/>
          <w:color w:val="000000" w:themeColor="text1"/>
          <w:kern w:val="0"/>
          <w:sz w:val="30"/>
          <w:szCs w:val="30"/>
        </w:rPr>
        <w:t>申报单位（公</w:t>
      </w:r>
      <w:r>
        <w:rPr>
          <w:rFonts w:ascii="仿宋_GB2312" w:hAnsi="宋体" w:eastAsia="仿宋_GB2312" w:cs="宋体"/>
          <w:color w:val="000000" w:themeColor="text1"/>
          <w:kern w:val="0"/>
          <w:sz w:val="30"/>
          <w:szCs w:val="30"/>
        </w:rPr>
        <w:t> </w:t>
      </w:r>
      <w:r>
        <w:rPr>
          <w:rFonts w:hint="eastAsia" w:ascii="仿宋_GB2312" w:hAnsi="宋体" w:eastAsia="仿宋_GB2312" w:cs="宋体"/>
          <w:color w:val="000000" w:themeColor="text1"/>
          <w:kern w:val="0"/>
          <w:sz w:val="30"/>
          <w:szCs w:val="30"/>
        </w:rPr>
        <w:t>章）：</w:t>
      </w:r>
      <w:r>
        <w:rPr>
          <w:rFonts w:ascii="仿宋_GB2312" w:hAnsi="宋体" w:eastAsia="仿宋_GB2312" w:cs="宋体"/>
          <w:color w:val="000000" w:themeColor="text1"/>
          <w:kern w:val="0"/>
          <w:sz w:val="30"/>
          <w:szCs w:val="30"/>
        </w:rPr>
        <w:t>      </w:t>
      </w:r>
      <w:r>
        <w:rPr>
          <w:rFonts w:hint="eastAsia" w:ascii="仿宋_GB2312" w:hAnsi="宋体" w:eastAsia="仿宋_GB2312" w:cs="宋体"/>
          <w:color w:val="000000" w:themeColor="text1"/>
          <w:kern w:val="0"/>
          <w:sz w:val="30"/>
          <w:szCs w:val="30"/>
        </w:rPr>
        <w:t>申报日期：</w:t>
      </w: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sectPr>
      <w:pgSz w:w="11906" w:h="16838"/>
      <w:pgMar w:top="2098"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2" o:spid="_x0000_s3072"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3" o:spid="_x0000_s3073"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lang w:eastAsia="zh-CN"/>
                  </w:rPr>
                  <w:fldChar w:fldCharType="end"/>
                </w:r>
              </w:p>
            </w:txbxContent>
          </v:textbox>
        </v:shape>
      </w:pict>
    </w:r>
    <w:sdt>
      <w:sdtPr>
        <w:id w:val="3821282"/>
      </w:sdt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17D"/>
    <w:rsid w:val="000138AF"/>
    <w:rsid w:val="00083C89"/>
    <w:rsid w:val="0008765C"/>
    <w:rsid w:val="00096F19"/>
    <w:rsid w:val="000B0D04"/>
    <w:rsid w:val="000C64C5"/>
    <w:rsid w:val="00102A7A"/>
    <w:rsid w:val="0010445E"/>
    <w:rsid w:val="00104B77"/>
    <w:rsid w:val="001209FF"/>
    <w:rsid w:val="001216A0"/>
    <w:rsid w:val="001235C7"/>
    <w:rsid w:val="00132F32"/>
    <w:rsid w:val="001424F5"/>
    <w:rsid w:val="00142765"/>
    <w:rsid w:val="00144D22"/>
    <w:rsid w:val="001452E9"/>
    <w:rsid w:val="00145578"/>
    <w:rsid w:val="00146E8B"/>
    <w:rsid w:val="0015327B"/>
    <w:rsid w:val="00173A51"/>
    <w:rsid w:val="00194445"/>
    <w:rsid w:val="00194A80"/>
    <w:rsid w:val="00196415"/>
    <w:rsid w:val="001A1CB6"/>
    <w:rsid w:val="001B5871"/>
    <w:rsid w:val="001B6624"/>
    <w:rsid w:val="001C425E"/>
    <w:rsid w:val="001E3B51"/>
    <w:rsid w:val="00200162"/>
    <w:rsid w:val="00205738"/>
    <w:rsid w:val="0021645F"/>
    <w:rsid w:val="00221681"/>
    <w:rsid w:val="002225D2"/>
    <w:rsid w:val="0022563D"/>
    <w:rsid w:val="00230656"/>
    <w:rsid w:val="00244B17"/>
    <w:rsid w:val="002963B4"/>
    <w:rsid w:val="002D3A18"/>
    <w:rsid w:val="002E342F"/>
    <w:rsid w:val="003356B5"/>
    <w:rsid w:val="0034021B"/>
    <w:rsid w:val="00344B3A"/>
    <w:rsid w:val="00363D62"/>
    <w:rsid w:val="003C68C1"/>
    <w:rsid w:val="003E76A5"/>
    <w:rsid w:val="00402812"/>
    <w:rsid w:val="004047B2"/>
    <w:rsid w:val="00434C43"/>
    <w:rsid w:val="00464FDD"/>
    <w:rsid w:val="00473C94"/>
    <w:rsid w:val="0047775B"/>
    <w:rsid w:val="00496325"/>
    <w:rsid w:val="00497002"/>
    <w:rsid w:val="004C321F"/>
    <w:rsid w:val="004D5C36"/>
    <w:rsid w:val="004D67E0"/>
    <w:rsid w:val="004E544E"/>
    <w:rsid w:val="00502716"/>
    <w:rsid w:val="005121F9"/>
    <w:rsid w:val="00562B03"/>
    <w:rsid w:val="00594CB0"/>
    <w:rsid w:val="005C460A"/>
    <w:rsid w:val="005D4A91"/>
    <w:rsid w:val="005F791E"/>
    <w:rsid w:val="0060482B"/>
    <w:rsid w:val="00613E39"/>
    <w:rsid w:val="00617F94"/>
    <w:rsid w:val="006201F8"/>
    <w:rsid w:val="00661B75"/>
    <w:rsid w:val="00682744"/>
    <w:rsid w:val="00683235"/>
    <w:rsid w:val="00686277"/>
    <w:rsid w:val="006F0D6D"/>
    <w:rsid w:val="00712972"/>
    <w:rsid w:val="00736579"/>
    <w:rsid w:val="00742DF9"/>
    <w:rsid w:val="00752A6D"/>
    <w:rsid w:val="00761829"/>
    <w:rsid w:val="00780AC8"/>
    <w:rsid w:val="007811FD"/>
    <w:rsid w:val="007A7912"/>
    <w:rsid w:val="007D0913"/>
    <w:rsid w:val="007E0AF5"/>
    <w:rsid w:val="007E47DE"/>
    <w:rsid w:val="00842DF3"/>
    <w:rsid w:val="0086030F"/>
    <w:rsid w:val="00875100"/>
    <w:rsid w:val="008816DD"/>
    <w:rsid w:val="0088538B"/>
    <w:rsid w:val="008B0C4D"/>
    <w:rsid w:val="008C0A6E"/>
    <w:rsid w:val="00902187"/>
    <w:rsid w:val="00924C17"/>
    <w:rsid w:val="00945F60"/>
    <w:rsid w:val="00971814"/>
    <w:rsid w:val="009805C2"/>
    <w:rsid w:val="00992A6E"/>
    <w:rsid w:val="009B3D17"/>
    <w:rsid w:val="009E05B8"/>
    <w:rsid w:val="00A2150B"/>
    <w:rsid w:val="00A35A44"/>
    <w:rsid w:val="00A524D0"/>
    <w:rsid w:val="00A54BC0"/>
    <w:rsid w:val="00A82B39"/>
    <w:rsid w:val="00A900A6"/>
    <w:rsid w:val="00AD1769"/>
    <w:rsid w:val="00AD439C"/>
    <w:rsid w:val="00AE75FD"/>
    <w:rsid w:val="00AF1B26"/>
    <w:rsid w:val="00AF39FD"/>
    <w:rsid w:val="00B066C2"/>
    <w:rsid w:val="00B1417A"/>
    <w:rsid w:val="00B15082"/>
    <w:rsid w:val="00B32BAD"/>
    <w:rsid w:val="00B471BF"/>
    <w:rsid w:val="00B62CC8"/>
    <w:rsid w:val="00B718D7"/>
    <w:rsid w:val="00B7367D"/>
    <w:rsid w:val="00B845BF"/>
    <w:rsid w:val="00BA25C7"/>
    <w:rsid w:val="00BC01A9"/>
    <w:rsid w:val="00BC0B8C"/>
    <w:rsid w:val="00BE29F8"/>
    <w:rsid w:val="00BE5A00"/>
    <w:rsid w:val="00BF6168"/>
    <w:rsid w:val="00C02190"/>
    <w:rsid w:val="00C0587C"/>
    <w:rsid w:val="00C15D3B"/>
    <w:rsid w:val="00C17E29"/>
    <w:rsid w:val="00C252E9"/>
    <w:rsid w:val="00C50811"/>
    <w:rsid w:val="00C6781F"/>
    <w:rsid w:val="00C70A06"/>
    <w:rsid w:val="00C70FBB"/>
    <w:rsid w:val="00C72DA5"/>
    <w:rsid w:val="00C7311C"/>
    <w:rsid w:val="00C853DE"/>
    <w:rsid w:val="00C94B1B"/>
    <w:rsid w:val="00CA59E2"/>
    <w:rsid w:val="00CD6225"/>
    <w:rsid w:val="00D36794"/>
    <w:rsid w:val="00D36A67"/>
    <w:rsid w:val="00D5541D"/>
    <w:rsid w:val="00D619FF"/>
    <w:rsid w:val="00D65769"/>
    <w:rsid w:val="00D70E71"/>
    <w:rsid w:val="00D818B0"/>
    <w:rsid w:val="00D841AC"/>
    <w:rsid w:val="00D8726D"/>
    <w:rsid w:val="00D90383"/>
    <w:rsid w:val="00DA0022"/>
    <w:rsid w:val="00DA7A65"/>
    <w:rsid w:val="00DC5F21"/>
    <w:rsid w:val="00DD2F56"/>
    <w:rsid w:val="00DE38F8"/>
    <w:rsid w:val="00DE7A2F"/>
    <w:rsid w:val="00E149D2"/>
    <w:rsid w:val="00E17B2A"/>
    <w:rsid w:val="00E17EF2"/>
    <w:rsid w:val="00E30254"/>
    <w:rsid w:val="00E3212F"/>
    <w:rsid w:val="00E37402"/>
    <w:rsid w:val="00E641C6"/>
    <w:rsid w:val="00E86F1B"/>
    <w:rsid w:val="00E96142"/>
    <w:rsid w:val="00EA34C8"/>
    <w:rsid w:val="00EC17F9"/>
    <w:rsid w:val="00ED73C9"/>
    <w:rsid w:val="00EE715C"/>
    <w:rsid w:val="00F1317D"/>
    <w:rsid w:val="00F179D7"/>
    <w:rsid w:val="00F23E55"/>
    <w:rsid w:val="00F33528"/>
    <w:rsid w:val="00F516A5"/>
    <w:rsid w:val="00F547B6"/>
    <w:rsid w:val="00F723CA"/>
    <w:rsid w:val="00F8493D"/>
    <w:rsid w:val="00FA153F"/>
    <w:rsid w:val="00FD651C"/>
    <w:rsid w:val="00FE1F25"/>
    <w:rsid w:val="020708EE"/>
    <w:rsid w:val="0DE02957"/>
    <w:rsid w:val="11210D8F"/>
    <w:rsid w:val="311D3D01"/>
    <w:rsid w:val="37C91115"/>
    <w:rsid w:val="3ACE0108"/>
    <w:rsid w:val="3E4F4652"/>
    <w:rsid w:val="4955635B"/>
    <w:rsid w:val="5B6E06C8"/>
    <w:rsid w:val="6D4C4E8C"/>
    <w:rsid w:val="6EB76DE3"/>
    <w:rsid w:val="7502663F"/>
    <w:rsid w:val="777A4637"/>
    <w:rsid w:val="779864FF"/>
    <w:rsid w:val="7D6F308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jc w:val="center"/>
    </w:pPr>
    <w:rPr>
      <w:sz w:val="36"/>
    </w:rPr>
  </w:style>
  <w:style w:type="paragraph" w:styleId="3">
    <w:name w:val="annotation text"/>
    <w:basedOn w:val="1"/>
    <w:link w:val="17"/>
    <w:semiHidden/>
    <w:qFormat/>
    <w:uiPriority w:val="99"/>
    <w:pPr>
      <w:jc w:val="left"/>
    </w:pPr>
  </w:style>
  <w:style w:type="paragraph" w:styleId="4">
    <w:name w:val="Date"/>
    <w:basedOn w:val="1"/>
    <w:next w:val="1"/>
    <w:link w:val="20"/>
    <w:unhideWhenUsed/>
    <w:qFormat/>
    <w:uiPriority w:val="99"/>
    <w:pPr>
      <w:ind w:left="100" w:leftChars="2500"/>
    </w:pPr>
  </w:style>
  <w:style w:type="paragraph" w:styleId="5">
    <w:name w:val="Balloon Text"/>
    <w:basedOn w:val="1"/>
    <w:link w:val="19"/>
    <w:semiHidden/>
    <w:qFormat/>
    <w:uiPriority w:val="99"/>
    <w:rPr>
      <w:sz w:val="18"/>
      <w:szCs w:val="18"/>
    </w:rPr>
  </w:style>
  <w:style w:type="paragraph" w:styleId="6">
    <w:name w:val="footer"/>
    <w:basedOn w:val="1"/>
    <w:link w:val="15"/>
    <w:semiHidden/>
    <w:qFormat/>
    <w:uiPriority w:val="99"/>
    <w:pPr>
      <w:tabs>
        <w:tab w:val="center" w:pos="4153"/>
        <w:tab w:val="right" w:pos="8306"/>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qFormat/>
    <w:uiPriority w:val="99"/>
    <w:rPr>
      <w:b/>
      <w:bCs/>
    </w:rPr>
  </w:style>
  <w:style w:type="character" w:styleId="11">
    <w:name w:val="page number"/>
    <w:basedOn w:val="10"/>
    <w:qFormat/>
    <w:uiPriority w:val="0"/>
  </w:style>
  <w:style w:type="character" w:styleId="12">
    <w:name w:val="Hyperlink"/>
    <w:basedOn w:val="10"/>
    <w:semiHidden/>
    <w:qFormat/>
    <w:uiPriority w:val="99"/>
    <w:rPr>
      <w:rFonts w:cs="Times New Roman"/>
      <w:color w:val="0000FF"/>
      <w:u w:val="single"/>
    </w:rPr>
  </w:style>
  <w:style w:type="character" w:styleId="13">
    <w:name w:val="annotation reference"/>
    <w:basedOn w:val="10"/>
    <w:semiHidden/>
    <w:qFormat/>
    <w:uiPriority w:val="99"/>
    <w:rPr>
      <w:rFonts w:cs="Times New Roman"/>
      <w:sz w:val="21"/>
      <w:szCs w:val="21"/>
    </w:rPr>
  </w:style>
  <w:style w:type="character" w:customStyle="1" w:styleId="14">
    <w:name w:val="页眉 Char"/>
    <w:basedOn w:val="10"/>
    <w:link w:val="7"/>
    <w:semiHidden/>
    <w:qFormat/>
    <w:locked/>
    <w:uiPriority w:val="99"/>
    <w:rPr>
      <w:rFonts w:cs="Times New Roman"/>
      <w:sz w:val="18"/>
      <w:szCs w:val="18"/>
    </w:rPr>
  </w:style>
  <w:style w:type="character" w:customStyle="1" w:styleId="15">
    <w:name w:val="页脚 Char"/>
    <w:basedOn w:val="10"/>
    <w:link w:val="6"/>
    <w:semiHidden/>
    <w:qFormat/>
    <w:locked/>
    <w:uiPriority w:val="99"/>
    <w:rPr>
      <w:rFonts w:cs="Times New Roman"/>
      <w:sz w:val="18"/>
      <w:szCs w:val="18"/>
    </w:rPr>
  </w:style>
  <w:style w:type="paragraph" w:customStyle="1" w:styleId="16">
    <w:name w:val="列出段落1"/>
    <w:basedOn w:val="1"/>
    <w:qFormat/>
    <w:uiPriority w:val="99"/>
    <w:pPr>
      <w:ind w:firstLine="420" w:firstLineChars="200"/>
    </w:pPr>
  </w:style>
  <w:style w:type="character" w:customStyle="1" w:styleId="17">
    <w:name w:val="批注文字 Char"/>
    <w:basedOn w:val="10"/>
    <w:link w:val="3"/>
    <w:semiHidden/>
    <w:qFormat/>
    <w:uiPriority w:val="99"/>
  </w:style>
  <w:style w:type="character" w:customStyle="1" w:styleId="18">
    <w:name w:val="批注主题 Char"/>
    <w:basedOn w:val="17"/>
    <w:link w:val="8"/>
    <w:semiHidden/>
    <w:qFormat/>
    <w:uiPriority w:val="99"/>
    <w:rPr>
      <w:b/>
      <w:bCs/>
    </w:rPr>
  </w:style>
  <w:style w:type="character" w:customStyle="1" w:styleId="19">
    <w:name w:val="批注框文本 Char"/>
    <w:basedOn w:val="10"/>
    <w:link w:val="5"/>
    <w:semiHidden/>
    <w:qFormat/>
    <w:uiPriority w:val="99"/>
    <w:rPr>
      <w:sz w:val="0"/>
      <w:szCs w:val="0"/>
    </w:rPr>
  </w:style>
  <w:style w:type="character" w:customStyle="1" w:styleId="20">
    <w:name w:val="日期 Char"/>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2" textRotate="1"/>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2488</Words>
  <Characters>2548</Characters>
  <Lines>19</Lines>
  <Paragraphs>5</Paragraphs>
  <TotalTime>0</TotalTime>
  <ScaleCrop>false</ScaleCrop>
  <LinksUpToDate>false</LinksUpToDate>
  <CharactersWithSpaces>2737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2018-05-27T15:48:00Z</dcterms:created>
  <dc:creator>Administrator</dc:creator>
  <cp:lastModifiedBy>butf</cp:lastModifiedBy>
  <dcterms:modified xsi:type="dcterms:W3CDTF">2023-03-14T00:06:39Z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91F1D5479B5D459A96A7A8B217A9BC44</vt:lpwstr>
  </property>
</Properties>
</file>