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eastAsia="仿宋_GB2312"/>
          <w:spacing w:val="-10"/>
          <w:sz w:val="32"/>
          <w:szCs w:val="32"/>
        </w:rPr>
      </w:pPr>
      <w:r>
        <w:rPr>
          <w:rFonts w:hint="eastAsia" w:ascii="Times New Roman" w:hAnsi="Times New Roman" w:eastAsia="仿宋_GB2312"/>
          <w:color w:val="000000"/>
          <w:sz w:val="32"/>
          <w:szCs w:val="32"/>
        </w:rPr>
        <w:t>柳建管字〔</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15</w:t>
      </w:r>
      <w:r>
        <w:rPr>
          <w:rFonts w:hint="eastAsia" w:ascii="Times New Roman" w:hAnsi="Times New Roman" w:eastAsia="仿宋_GB2312"/>
          <w:color w:val="000000"/>
          <w:sz w:val="32"/>
          <w:szCs w:val="32"/>
        </w:rPr>
        <w:t>号</w:t>
      </w:r>
    </w:p>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0" w:firstLineChars="0"/>
        <w:jc w:val="both"/>
        <w:textAlignment w:val="auto"/>
        <w:outlineLvl w:val="9"/>
        <w:rPr>
          <w:rFonts w:hint="eastAsia" w:ascii="方正小标宋简体" w:hAnsi="宋体" w:eastAsia="方正小标宋简体"/>
          <w:bCs/>
          <w:sz w:val="44"/>
          <w:szCs w:val="44"/>
        </w:rPr>
      </w:pPr>
    </w:p>
    <w:p>
      <w:pPr>
        <w:snapToGrid w:val="0"/>
        <w:spacing w:beforeLines="0" w:afterLine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关于印发《柳州市房屋建筑和市政工程建设</w:t>
      </w:r>
    </w:p>
    <w:p>
      <w:pPr>
        <w:snapToGrid w:val="0"/>
        <w:spacing w:beforeLines="0" w:afterLine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项目招标代理机构信用综合评价</w:t>
      </w:r>
    </w:p>
    <w:p>
      <w:pPr>
        <w:snapToGrid w:val="0"/>
        <w:spacing w:beforeLines="0" w:afterLine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管理办法》的通知</w:t>
      </w:r>
    </w:p>
    <w:p>
      <w:pPr>
        <w:snapToGrid w:val="0"/>
        <w:spacing w:beforeLines="0" w:afterLines="0" w:line="240" w:lineRule="auto"/>
        <w:jc w:val="left"/>
        <w:rPr>
          <w:rFonts w:hint="eastAsia" w:ascii="方正小标宋简体" w:hAnsi="方正小标宋简体" w:eastAsia="方正小标宋简体" w:cs="方正小标宋简体"/>
          <w:bCs/>
          <w:sz w:val="44"/>
          <w:szCs w:val="44"/>
        </w:rPr>
      </w:pPr>
    </w:p>
    <w:p>
      <w:pPr>
        <w:spacing w:beforeLines="0" w:afterLines="0" w:line="700" w:lineRule="exact"/>
        <w:jc w:val="left"/>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各有关单位：</w:t>
      </w:r>
    </w:p>
    <w:p>
      <w:pPr>
        <w:widowControl/>
        <w:shd w:val="clear" w:color="auto" w:fill="FFFFFF"/>
        <w:snapToGrid w:val="0"/>
        <w:spacing w:beforeLines="0" w:afterLines="0" w:line="7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为进一步加强我</w:t>
      </w:r>
      <w:r>
        <w:rPr>
          <w:rFonts w:hint="eastAsia" w:ascii="Times New Roman" w:hAnsi="Times New Roman" w:eastAsia="仿宋_GB2312" w:cs="Times New Roman"/>
          <w:color w:val="auto"/>
          <w:sz w:val="32"/>
          <w:szCs w:val="32"/>
        </w:rPr>
        <w:t>市</w:t>
      </w:r>
      <w:r>
        <w:rPr>
          <w:rFonts w:ascii="Times New Roman" w:hAnsi="Times New Roman" w:eastAsia="仿宋_GB2312" w:cs="Times New Roman"/>
          <w:color w:val="auto"/>
          <w:sz w:val="32"/>
          <w:szCs w:val="32"/>
        </w:rPr>
        <w:t>房屋建筑和市政基础设施工程建设项目招标代理机构信用体系建设，维护招标投标市场秩序，促进招标代理机构诚信经营，依据《中华人民共和国招标投标法》、《中华人民共和国招标投标法实施条例》等法律法规，结合我</w:t>
      </w:r>
      <w:r>
        <w:rPr>
          <w:rFonts w:hint="eastAsia" w:ascii="Times New Roman" w:hAnsi="Times New Roman" w:eastAsia="仿宋_GB2312" w:cs="Times New Roman"/>
          <w:color w:val="auto"/>
          <w:sz w:val="32"/>
          <w:szCs w:val="32"/>
        </w:rPr>
        <w:t>市</w:t>
      </w:r>
      <w:r>
        <w:rPr>
          <w:rFonts w:ascii="Times New Roman" w:hAnsi="Times New Roman" w:eastAsia="仿宋_GB2312" w:cs="Times New Roman"/>
          <w:color w:val="auto"/>
          <w:sz w:val="32"/>
          <w:szCs w:val="32"/>
        </w:rPr>
        <w:t>实际，制定了《</w:t>
      </w:r>
      <w:r>
        <w:rPr>
          <w:rFonts w:hint="eastAsia" w:ascii="Times New Roman" w:hAnsi="Times New Roman" w:eastAsia="仿宋_GB2312" w:cs="Times New Roman"/>
          <w:color w:val="auto"/>
          <w:sz w:val="32"/>
          <w:szCs w:val="32"/>
        </w:rPr>
        <w:t>柳州市房屋建筑和市政工程建设项目招标代理机构信用综合评价管理办法</w:t>
      </w:r>
      <w:r>
        <w:rPr>
          <w:rFonts w:ascii="Times New Roman" w:hAnsi="Times New Roman" w:eastAsia="仿宋_GB2312" w:cs="Times New Roman"/>
          <w:color w:val="auto"/>
          <w:sz w:val="32"/>
          <w:szCs w:val="32"/>
        </w:rPr>
        <w:t>》，现印发给你们。该管理办法自2021年</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月1日起施行。请各地各单位结合实际认真贯彻执行。</w:t>
      </w:r>
    </w:p>
    <w:p>
      <w:pPr>
        <w:adjustRightInd w:val="0"/>
        <w:snapToGrid w:val="0"/>
        <w:spacing w:beforeLines="0" w:afterLines="0" w:line="700" w:lineRule="exact"/>
        <w:ind w:firstLine="640" w:firstLineChars="200"/>
        <w:rPr>
          <w:rFonts w:ascii="Times New Roman" w:hAnsi="Times New Roman" w:eastAsia="仿宋_GB2312" w:cs="Times New Roman"/>
          <w:color w:val="auto"/>
          <w:sz w:val="32"/>
          <w:szCs w:val="32"/>
        </w:rPr>
      </w:pPr>
    </w:p>
    <w:p>
      <w:pPr>
        <w:adjustRightInd w:val="0"/>
        <w:snapToGrid w:val="0"/>
        <w:spacing w:line="530" w:lineRule="exact"/>
        <w:ind w:firstLine="640" w:firstLineChars="200"/>
        <w:rPr>
          <w:rFonts w:ascii="Times New Roman" w:hAnsi="Times New Roman" w:eastAsia="仿宋_GB2312" w:cs="Times New Roman"/>
          <w:color w:val="000000" w:themeColor="text1"/>
          <w:sz w:val="32"/>
          <w:szCs w:val="32"/>
        </w:rPr>
      </w:pPr>
    </w:p>
    <w:p>
      <w:pPr>
        <w:adjustRightInd w:val="0"/>
        <w:snapToGrid w:val="0"/>
        <w:spacing w:line="530" w:lineRule="exact"/>
        <w:ind w:firstLine="640" w:firstLineChars="200"/>
        <w:rPr>
          <w:rFonts w:hint="eastAsia" w:ascii="Times New Roman" w:hAnsi="Times New Roman" w:eastAsia="仿宋_GB2312" w:cs="Times New Roman"/>
          <w:color w:val="000000" w:themeColor="text1"/>
          <w:spacing w:val="0"/>
          <w:sz w:val="32"/>
          <w:szCs w:val="32"/>
        </w:rPr>
      </w:pPr>
      <w:r>
        <w:rPr>
          <w:rFonts w:ascii="Times New Roman" w:hAnsi="Times New Roman" w:eastAsia="仿宋_GB2312" w:cs="Times New Roman"/>
          <w:color w:val="000000" w:themeColor="text1"/>
          <w:sz w:val="32"/>
          <w:szCs w:val="32"/>
        </w:rPr>
        <w:t>附件：</w:t>
      </w:r>
      <w:r>
        <w:rPr>
          <w:rFonts w:hint="eastAsia" w:ascii="Times New Roman" w:hAnsi="Times New Roman" w:eastAsia="仿宋_GB2312" w:cs="Times New Roman"/>
          <w:color w:val="000000" w:themeColor="text1"/>
          <w:spacing w:val="0"/>
          <w:sz w:val="32"/>
          <w:szCs w:val="32"/>
        </w:rPr>
        <w:t>柳州市房屋建筑和市政工程建设项目招标代理机构</w:t>
      </w:r>
    </w:p>
    <w:p>
      <w:pPr>
        <w:adjustRightInd w:val="0"/>
        <w:snapToGrid w:val="0"/>
        <w:spacing w:line="53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pacing w:val="0"/>
          <w:sz w:val="32"/>
          <w:szCs w:val="32"/>
          <w:lang w:val="en-US" w:eastAsia="zh-CN"/>
        </w:rPr>
        <w:t xml:space="preserve">      </w:t>
      </w:r>
      <w:r>
        <w:rPr>
          <w:rFonts w:hint="eastAsia" w:ascii="Times New Roman" w:hAnsi="Times New Roman" w:eastAsia="仿宋_GB2312" w:cs="Times New Roman"/>
          <w:color w:val="000000" w:themeColor="text1"/>
          <w:spacing w:val="0"/>
          <w:sz w:val="32"/>
          <w:szCs w:val="32"/>
        </w:rPr>
        <w:t>信用综合评价管理办法</w:t>
      </w:r>
    </w:p>
    <w:p>
      <w:pPr>
        <w:adjustRightInd w:val="0"/>
        <w:snapToGrid w:val="0"/>
        <w:spacing w:beforeLines="0" w:afterLines="0" w:line="560" w:lineRule="exact"/>
        <w:rPr>
          <w:rFonts w:ascii="Times New Roman" w:hAnsi="Times New Roman" w:eastAsia="仿宋_GB2312" w:cs="Times New Roman"/>
          <w:color w:val="000000" w:themeColor="text1"/>
          <w:sz w:val="32"/>
          <w:szCs w:val="32"/>
        </w:rPr>
      </w:pPr>
    </w:p>
    <w:p>
      <w:pPr>
        <w:adjustRightInd w:val="0"/>
        <w:snapToGrid w:val="0"/>
        <w:spacing w:beforeLines="0" w:afterLines="0" w:line="560" w:lineRule="exact"/>
        <w:rPr>
          <w:rFonts w:ascii="Times New Roman" w:hAnsi="Times New Roman" w:eastAsia="仿宋_GB2312" w:cs="Times New Roman"/>
          <w:color w:val="000000" w:themeColor="text1"/>
          <w:sz w:val="32"/>
          <w:szCs w:val="32"/>
        </w:rPr>
      </w:pPr>
    </w:p>
    <w:p>
      <w:pPr>
        <w:adjustRightInd w:val="0"/>
        <w:snapToGrid w:val="0"/>
        <w:spacing w:line="312" w:lineRule="auto"/>
        <w:ind w:right="294" w:rightChars="140"/>
        <w:jc w:val="right"/>
        <w:rPr>
          <w:rFonts w:ascii="Times New Roman" w:hAnsi="Times New Roman" w:eastAsia="仿宋_GB2312" w:cs="Times New Roman"/>
          <w:sz w:val="32"/>
          <w:szCs w:val="32"/>
        </w:rPr>
      </w:pPr>
      <w:r>
        <w:rPr>
          <w:rFonts w:hint="eastAsia" w:ascii="仿宋_GB2312" w:hAnsi="仿宋" w:eastAsia="仿宋_GB2312"/>
          <w:sz w:val="32"/>
          <w:szCs w:val="32"/>
        </w:rPr>
        <w:t xml:space="preserve">                         </w:t>
      </w:r>
      <w:r>
        <w:rPr>
          <w:rFonts w:hint="default" w:ascii="Times New Roman" w:hAnsi="Times New Roman" w:eastAsia="仿宋_GB2312" w:cs="Times New Roman"/>
          <w:sz w:val="32"/>
          <w:szCs w:val="32"/>
        </w:rPr>
        <w:t>柳州市住房和城乡建设局</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right="714" w:rightChars="340" w:firstLine="0" w:firstLineChars="0"/>
        <w:jc w:val="right"/>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日</w:t>
      </w:r>
    </w:p>
    <w:p>
      <w:pPr>
        <w:tabs>
          <w:tab w:val="left" w:pos="1800"/>
        </w:tabs>
        <w:adjustRightInd w:val="0"/>
        <w:snapToGrid w:val="0"/>
        <w:spacing w:line="312" w:lineRule="auto"/>
        <w:ind w:right="1134" w:rightChars="54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（网络传输）</w:t>
      </w:r>
    </w:p>
    <w:p>
      <w:pPr>
        <w:tabs>
          <w:tab w:val="left" w:pos="1800"/>
        </w:tabs>
        <w:adjustRightInd w:val="0"/>
        <w:snapToGrid w:val="0"/>
        <w:spacing w:line="312" w:lineRule="auto"/>
        <w:ind w:right="1134" w:rightChars="540"/>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pStyle w:val="2"/>
        <w:rPr>
          <w:rFonts w:hint="default" w:eastAsiaTheme="minorEastAsia"/>
          <w:sz w:val="21"/>
          <w:szCs w:val="2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rPr>
          <w:rFonts w:hint="default" w:eastAsiaTheme="minorEastAsia"/>
          <w:sz w:val="21"/>
          <w:szCs w:val="22"/>
        </w:rPr>
      </w:pPr>
    </w:p>
    <w:p>
      <w:pPr>
        <w:spacing w:line="600" w:lineRule="exact"/>
        <w:ind w:firstLine="660"/>
        <w:jc w:val="left"/>
        <w:rPr>
          <w:rFonts w:ascii="Times New Roman" w:hAnsi="Times New Roman" w:eastAsia="仿宋_GB2312" w:cs="Times New Roman"/>
          <w:sz w:val="32"/>
          <w:szCs w:val="32"/>
        </w:rPr>
      </w:pPr>
      <w:r>
        <w:rPr>
          <w:rFonts w:hint="default" w:ascii="Times New Roman" w:hAnsi="Times New Roman" w:eastAsia="方正小标宋_GBK" w:cs="Times New Roman"/>
          <w:sz w:val="32"/>
          <w:szCs w:val="32"/>
        </w:rPr>
        <w:t>公开方式：</w:t>
      </w:r>
      <w:r>
        <w:rPr>
          <w:rFonts w:hint="eastAsia" w:ascii="Times New Roman" w:hAnsi="Times New Roman" w:eastAsia="仿宋_GB2312" w:cs="Times New Roman"/>
          <w:sz w:val="32"/>
          <w:szCs w:val="32"/>
          <w:lang w:eastAsia="zh-CN"/>
        </w:rPr>
        <w:t>主动</w:t>
      </w:r>
      <w:r>
        <w:rPr>
          <w:rFonts w:hint="default" w:ascii="Times New Roman" w:hAnsi="Times New Roman" w:eastAsia="仿宋_GB2312" w:cs="Times New Roman"/>
          <w:sz w:val="32"/>
          <w:szCs w:val="32"/>
        </w:rPr>
        <w:t>公开</w:t>
      </w:r>
      <w:bookmarkStart w:id="0" w:name="_GoBack"/>
      <w:bookmarkEnd w:id="0"/>
    </w:p>
    <w:sectPr>
      <w:headerReference r:id="rId3" w:type="default"/>
      <w:footerReference r:id="rId4" w:type="default"/>
      <w:pgSz w:w="11906" w:h="16838"/>
      <w:pgMar w:top="2098"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visionView w:markup="0"/>
  <w:documentProtection w:edit="trackedChanges"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3ADC"/>
    <w:rsid w:val="00060F86"/>
    <w:rsid w:val="001170D7"/>
    <w:rsid w:val="002172A1"/>
    <w:rsid w:val="00240630"/>
    <w:rsid w:val="002F4CD4"/>
    <w:rsid w:val="00364F13"/>
    <w:rsid w:val="004272FD"/>
    <w:rsid w:val="004738C6"/>
    <w:rsid w:val="00486FD3"/>
    <w:rsid w:val="00540D19"/>
    <w:rsid w:val="005C3A72"/>
    <w:rsid w:val="006072D3"/>
    <w:rsid w:val="007B0CD7"/>
    <w:rsid w:val="007C746C"/>
    <w:rsid w:val="008B3ADC"/>
    <w:rsid w:val="008F6690"/>
    <w:rsid w:val="00D534CC"/>
    <w:rsid w:val="00D82AB7"/>
    <w:rsid w:val="00E30B5E"/>
    <w:rsid w:val="00E813E8"/>
    <w:rsid w:val="00EE275D"/>
    <w:rsid w:val="00F47695"/>
    <w:rsid w:val="00FB297D"/>
    <w:rsid w:val="00FD3962"/>
    <w:rsid w:val="0E9E1257"/>
    <w:rsid w:val="1E3905DC"/>
    <w:rsid w:val="38C77076"/>
    <w:rsid w:val="38F54FE0"/>
    <w:rsid w:val="4D7D5118"/>
    <w:rsid w:val="5FD07D8B"/>
    <w:rsid w:val="7A187D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line="600" w:lineRule="exact"/>
      <w:jc w:val="center"/>
      <w:outlineLvl w:val="0"/>
    </w:pPr>
    <w:rPr>
      <w:rFonts w:ascii="Times New Roman" w:hAnsi="Times New Roman" w:eastAsia="方正小标宋简体" w:cs="Times New Roman"/>
      <w:bCs/>
      <w:sz w:val="44"/>
      <w:szCs w:val="32"/>
      <w:lang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styleId="9">
    <w:name w:val="page number"/>
    <w:basedOn w:val="8"/>
    <w:unhideWhenUsed/>
    <w:uiPriority w:val="99"/>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289</Words>
  <Characters>296</Characters>
  <Lines>15</Lines>
  <Paragraphs>8</Paragraphs>
  <TotalTime>0</TotalTime>
  <ScaleCrop>false</ScaleCrop>
  <LinksUpToDate>false</LinksUpToDate>
  <CharactersWithSpaces>352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2020-11-18T03:38:00Z</dcterms:created>
  <dc:creator>NTKO</dc:creator>
  <cp:lastModifiedBy>莫万里</cp:lastModifiedBy>
  <dcterms:modified xsi:type="dcterms:W3CDTF">2021-10-08T02:09:41Z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