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snapToGrid w:val="0"/>
        <w:ind w:firstLine="0"/>
        <w:jc w:val="center"/>
        <w:outlineLvl w:val="9"/>
        <w:rPr>
          <w:rFonts w:ascii="Times New Roman" w:hAnsi="Times New Roman" w:eastAsia="方正大标宋简体" w:cs="Times New Roman"/>
          <w:spacing w:val="-2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柳建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〔2022〕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号</w:t>
      </w:r>
    </w:p>
    <w:p>
      <w:pPr>
        <w:snapToGrid w:val="0"/>
        <w:ind w:right="600" w:firstLine="5220" w:firstLineChars="1450"/>
        <w:jc w:val="both"/>
        <w:rPr>
          <w:rFonts w:hint="eastAsia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关于印发《柳州市新建商品房预售资金监管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实施细则》的通知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银行业金融机构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，各房地产开发企业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，各相关单位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柳州市新建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商品房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办法》（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〔20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号）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自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2019年9月20日施行以来，对加强我市商品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房预售资金监管，促进我市房地产市场健康发展发挥了重要作用。为进一步促进房地产市场平稳健康发展，维护购房人合法权益，防范市场风险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落实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商品房预售资金监管相关规定，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柳州市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住房和城乡建设局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会同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中国人民银行柳州市中心支行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、中国银行保险监督管理委员会柳州监管分局对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柳州市新建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商品房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办法》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进行了修订，现将修订后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更名的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柳州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商品房预售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监管实施细则》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予以公布施行。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《柳州市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商品房预售资金监管实施细则》施行之日起，所有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商品房预售资金全部存入“柳州市房产交易所预售资金监控账户”。新办理预售许可的项目楼栋，房地产开发企业自行选择符合条件的监管银行。本实施细则施行前已纳入监管的预售商品房项目楼栋，所签订的新建商品房买卖合同约定支付尚未存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预售资金监管账户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的购房款，统一进入“柳州市房产交易所预售资金监控账户”后，再通过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预售资金监控管理系统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自动分配至原监管账户，由原监管银行继续监管，原监管银行应按照已签订的《柳州市新建商品房预售资金监管金融委托协议》继续履行监管银行职责。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柳州市住房和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城乡建设局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中国人民银行柳州市中心支行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中国银行保险监督管理委员会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柳州监管分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 w:firstLine="3200" w:firstLineChars="10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2022年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7" w:lineRule="auto"/>
        <w:ind w:firstLine="560"/>
        <w:jc w:val="both"/>
        <w:textAlignment w:val="auto"/>
        <w:rPr>
          <w:rFonts w:eastAsia="仿宋_GB2312"/>
          <w:color w:val="auto"/>
          <w:sz w:val="32"/>
          <w:szCs w:val="32"/>
        </w:rPr>
        <w:sectPr>
          <w:footerReference r:id="rId3" w:type="default"/>
          <w:pgSz w:w="11906" w:h="16838"/>
          <w:pgMar w:top="2098" w:right="1474" w:bottom="1417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  <w:t>柳州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</w:rPr>
        <w:t>市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  <w:t>新建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</w:rPr>
        <w:t>商品房预售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  <w:t>资金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</w:rPr>
        <w:t>监管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</w:rPr>
        <w:t>实施细则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第一章  总则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第一条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防范房地产市场风险，维护社会稳定，落实“保交楼、保民生、保稳定”任务，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根据《中华人民共和国城市房地产管理法》《城市商品房预售管理办法》《广西壮族自治区房地产开发企业管理办法》等商品房预售资金监管相关规定，结合本市实际，制定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本细则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本市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市区范围内（不含柳江区）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新申请预售许可的商品房，其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的收存、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和监管工作，适用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细则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。保障性住房、人才公寓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等政策性住房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纳入本细则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  <w:lang w:eastAsia="zh-CN"/>
        </w:rPr>
        <w:t>管理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各县、柳江区可参照本细则自行制定相应的政策实施管理，并报市级主管部门备案。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本细则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所称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</w:rPr>
        <w:t>品房预售资金，是指房地产开发企业将新建商品房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  <w:lang w:eastAsia="zh-CN"/>
        </w:rPr>
        <w:t>进行预售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</w:rPr>
        <w:t>时，由购房人按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新建商品房买卖合同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</w:rPr>
        <w:t>约定支付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  <w:lang w:eastAsia="zh-CN"/>
        </w:rPr>
        <w:t>的定金、首付款、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银行业金融机构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  <w:lang w:eastAsia="zh-CN"/>
        </w:rPr>
        <w:t>发放的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</w:rPr>
        <w:t>按揭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  <w:lang w:eastAsia="zh-CN"/>
        </w:rPr>
        <w:t>贷款和其他形式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</w:rPr>
        <w:t>（包括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  <w:lang w:eastAsia="zh-CN"/>
        </w:rPr>
        <w:t>但不限于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</w:rPr>
        <w:t>一次性全额付款、分期付款、住房公积金管理中心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  <w:lang w:eastAsia="zh-CN"/>
        </w:rPr>
        <w:t>发放的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</w:rPr>
        <w:t>按揭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  <w:lang w:eastAsia="zh-CN"/>
        </w:rPr>
        <w:t>贷款等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</w:rPr>
        <w:t>）的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  <w:lang w:eastAsia="zh-CN"/>
        </w:rPr>
        <w:t>全部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</w:rPr>
        <w:t>购房款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住房和城乡建设局（以下简称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住房城乡建设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是柳州市商品房预售资金监管部门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(以下简称“监管部门”)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负责全市商品房预售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</w:rPr>
        <w:t>组织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、协调和监督。具体负责制定相关政策措施，督促检查商品房预售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监管实施情况，对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房地产开发企业、银行业金融机构的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履责情况进行监督管理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中国人民银行柳州市中心支行（以下简称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人民银行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中心支行”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）负责指导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银行业金融机构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做好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预售资金监管账户（以下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简称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“监管账户”）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管理工作。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中国银行保险监督管理委员会柳州监管分局（以下简称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“柳州银保监分局”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）负责对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银行业金融机构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预售资金监管的操作风险和合规性进行监督检查。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柳州市房产交易所受市住房城乡建设局委托，具体负责预售资金的收存、使用管理工作；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负责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设立“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柳州市房产交易所预售资金监控账户”（以下简称“预售资金监控账户”），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预售资金监控管理系统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进行维护、管理和使用；负责开展预售资金监管的政策宣传、业务培训和监督管理等工作。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监管银行是指市住房城乡建设局会同人民银行柳州市中心支行、柳州银保监分局通过公开招标方式确定，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符合预售资金监管条件并与市住房城乡建设局签订《柳州市新建商品房预售资金监管金融委托协议》的银行业金融机构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。负责对房地产开发项目对应的监管账户进行监督、管理和执行使用，配合柳州市房产交易所做好预售资金的收存、使用管理。并按照本细则开展涉及新建商品房预售资金的经营管理活动，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包括且不限于开设监管账户、规范收存预售资金、将按揭款直接存入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预售资金监控账户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第二章  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预售资金监控账户和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监管账户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柳州市商品房预售资金统一纳入预售资金监控账户管理，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预售商品房项目现场安装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预售资金监控账户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专用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POS机，购房者将购房款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存入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预售资金监控账户。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购房人可通过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市住房城乡建设局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门户网站查询所购房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预售资金入账信息。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监管部门组建柳州市商品房预售资金监管平台（以下简称“监管平台”），该平台包括预售资金监控管理系统（以下简称“监控系统”）、预售资金监管系统（以下简称“监管系统”）、数据交换共享系统等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子系统。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监控系统记录预售资金收存及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情况，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购房款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存入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监控账户后，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监控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系统自动分配到对应项目监管账户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监管系统记载监管账户资金情况，房地产开发企业申请使用预售资金在该系统办理。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在办理商品房预售许可申请前，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按照一次预售许可申请对应一个账户的原则开设监管账户，并与监管部门、监管银行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签订《新建商品房预售资金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三方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监管协议》（以下简称《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三方监管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协议》）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。房地产开发企业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预售商品房期间，应在商品房销售现场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一并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监控账户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信息及《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三方监管协议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文本。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三方监管协议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包括商品房基本情况、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预售资金监控账户、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监管账户、监管额度、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收存及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方式、权利义务、违约责任、争议解决方式等内容。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监管额度是监管账户中确保项目竣工交付所需的资金额度，由房地产开发企业自行申报，监管部门根据项目建设工程造价、施工合同金额、项目交付使用条件等情况综合评估确定。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三方监管协议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签订后，原则上不予办理监管银行、监管账户的变更。确需变更的，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与监管部门、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银行重新签订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三方监管协议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，在销售现场公示并告知购房人。变更期间不予办理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新建商品房买卖合同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网签、预售资金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收存、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等业务。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监管账户被人民法院冻结的，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银行应及时通知监管部门。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fill="FFFFFF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、商品房建设工程款债权人、材料款债权人、租赁设备款债权人等请求以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监管账户资金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支付本项目所涉工程建设进度款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、农民工工资、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材料款、设备款等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项目建设所需资金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，或者购房人因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购房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合同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解除申请退还购房款的，经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申请、监管部门审核同意后，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银行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应当及时支付，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并将付款情况及时向人民法院报告。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预售商品房完成房屋所有权首次登记的，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可向监管部门申请解除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监管，监管部门确认通过后，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房地产开发企业可与监管银行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办理监管账户注销手续。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第三章  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的收存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第十条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应当将购房人通过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POS机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等方式支付的购房款全部直接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存入预售资金监控账户，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不得以其他任何形式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或账户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违规收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存预售资金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银行业金融机构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受理购房人申请住房按揭贷款时，应审核首付款足额缴存至预售资金监控账户的凭证，在签订的房屋抵押合同中明确预售资金监控账户、监管账户信息，明确约定将住房按揭贷款直接发放至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预售资金监控账户，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并按要求办理房屋抵押合同网签备案。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按规定在办理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新建商品房买卖合同网签备案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柳州市房产交易所应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核验该商品房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购房款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存入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预售资金监控账户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的信息。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付款方式为一次性、分期、其他方式购买商品房的，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每套房屋入账金额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新建商品房买卖合同约定入账金额相匹配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时，方能办理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该套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新建商品房买卖合同网签备案；付款方式为按揭贷款购买商品房的，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每套房屋入账金额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新建商品房买卖合同约定首付金额相匹配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，并按要求办理房屋抵押合同网签申请，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方能办理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该套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新建商品房买卖合同及抵押合同网签备案。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监管银行需认真做好预售资金流水审核，对不明资金进账，要及时进行清理清退，监管账户只允许接收预售资金监控账户自动分配转入的购房款项。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  <w:t>存入预售资金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</w:rPr>
        <w:t>监控账户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购房款项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  <w:t>，应附对应“一房一码”，监控系统自动分配当天完成转入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</w:rPr>
        <w:t>对应项目监管账户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  <w:t>，对不明入账款项当天系统原路退回。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十二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预售新建商品房时，应当在商品房买卖合同中注明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用于收存购房款的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预售资金监控账户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信息，并与购房人约定将定金及其他购房款直接存入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预售资金监控账户。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十三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购房人申请办理购房贷款的，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、购房人、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银行业金融机构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有关按揭协议应当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作出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明确约定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银行业金融机构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及公积金管理中心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应当将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按揭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贷款直接划转至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预售资金监控账户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 xml:space="preserve"> 购房人退房的，由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直接申请退款，经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柳州市房产交易所审核，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其已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收存入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监管账户的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购房款直接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退付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购房人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第四章  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的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使用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监管账户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累计收存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的预售资金超过监管额度的，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超出监管额度的资金，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房地产开发企业可根据企业需要，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监管系统提出使用申请，监管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银行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收到系统划转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指令即可办理资金划转业务。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监管额度内的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原则上用于项目的工程建设，在确保项目交付的基础上，可根据经济形势需要，经监管部门审批调整使用。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监管账户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累计收存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的预售资金未达到监管额度时，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因工程建设需要，房地产开发企业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可以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按照监管额度构成情况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和资金使用优先级别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申请使用监管额度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资金，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优先保障农民工工资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和项目建设其他直接费用。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申请使用监管额度内的有关资金的，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按照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三方监管协议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》相关约定，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监管系统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提出资金使用申请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，柳州市房产交易所自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受理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使用申请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之日起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个工作日内完成相关资料审核，对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符合条件的，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柳州市房产交易所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监管系统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银行发送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划转指令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银行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按指令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直接划转至指定账户。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申请使用监管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额度内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资金，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应通过监管系统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提交以下材料：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额度资金申请；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对应的形象进度证明材料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施工总包单位或者相关分项工程施工单位的工程款支付账户、金额、用途说明；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达到形象进度应当支付的农民工工资账户、金额、用途说明；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其他应当提交的证明材料。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监管账户中监管额度内的资金不同于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自有资金，应当专款专用，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按照监管额度构成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和资金使用优先级别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用于包括项目建设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必须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工程勘察、设计、测绘、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建筑材料、设备和施工进度款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、工程装饰装修、绿化、消防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等相关支出。监管额度内的资金，在商品房项目完成房屋所有权首次登记前，</w:t>
      </w:r>
      <w:r>
        <w:rPr>
          <w:rFonts w:hint="eastAsia" w:ascii="仿宋_GB2312" w:hAnsi="仿宋_GB2312" w:eastAsia="仿宋_GB2312" w:cs="仿宋_GB2312"/>
          <w:i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银行不得擅自扣划；设立子公司的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，集团公司不得抽调。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申请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监管额度内的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，应满足相应的工程建设进度要求，首次拨付节点不得早于地下结构完成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建筑物主体结构封顶前使用比例不超过监管额度的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70%，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最后拨付节点为房屋所有权首次登记,且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后的余额应满足以下要求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）完成建设工程竣工验收备案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，监管账户内资金余额应当不低于监管额度的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5%；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）完成该预售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房屋所有权首次登记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前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，监管账户内资金余额应当不低于监管额度的2%；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）完成该预售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项目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房屋所有权首次登记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，可以申请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解除商品房预售资金监管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重点监管项目是指预售商品房项目因销售不畅等原因，监管账户内的资金未达到监管额度，且工程形象进度及账户余额不满足规定要求，或者出现重大经营性风险、可能引发重大矛盾纠纷的项目，柳州市房产交易所在监管平台予以标注，并推送监管银行。列为重点监管项目期间，该项目所有预售资金全额监管。房地产开发企业申请后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按照监管额度构成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和资金使用优先级别，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由柳州市房产交易所对每一笔资金使用用途进行核查，审核通过后，受理资金使用申请，发送资金划转指令到监管银行划款。该项目风险隐患消除后，可取消对该项目的重点监管，其预售资金使用按照本办法第十六条、第十七条、第十八条的相关规定执行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房地产开发企业开发的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预售商品房项目中涉及配建安置房屋的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安置房建设完成交付前，项目整体列为重点监管项目，监管账户内资金应优先用于该项目预售商品房建设。项目内安置房建设全部完成并交付后，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可取消对该项目的重点监管，其预售资金使用按照本办法第十六条、第十七条、第十八条的相关规定执行。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二十一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本细则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十九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条规定外，预售商品房有下列情形之一的，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柳州市房产交易所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自受理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申请之日起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个工作日内，通过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监管系统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出具不予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意见并说明理由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监管额度内资金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使用进度与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工程建设进度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不匹配的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监管账户内资金余额未达到相应节点留存余额要求，房地产开发企业申请用于非工程建设款项的；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房地产开发企业弄虚作假，虚报相关材料及数据的； 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房地产开发企业违反中央、自治区、我市预售资金监管相关规定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且未按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要求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整改到位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的。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第五章  监督管理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第二十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市住房城乡建设局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人民银行柳州市中心支行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柳州银保监分局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建立联动工作机制，按照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监管职责对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银行业金融机构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监管方面进行监督指导，发现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抽逃、挪用预售资金以及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银行业金融机构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违规扣划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、截留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预售资金等违法违规行为的，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依法依规严肃处理。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第二十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市房产交易所、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银行、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应加强监管平台预警指标处置工作，确保专人专岗，及时核查预警事项，限期在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监管系统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上反馈核查结果。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第二十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市住房城乡建设局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对商品房项目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的监管额度测算和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收存、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等情况开展随机监督抽查，并对存在以下情形的商品房项目实施重点监督检查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监控系统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发出预警信息的商品房项目；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涉及多次聚众上访、重大经济纠纷等引发社会矛盾、涉稳风险问题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的预售商品房项目及其关联企业建设的其他预售商品房项目；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）其他根据监管需要进行重点检查的预售商品房项目。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市房产交易所受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市住房城乡建设局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委托，协助开展商品房项目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监管的抽查和重点检查工作，核查监管项目的资金异动情况，对存在风险的项目及时启动预警机制。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监管银行、按揭贷款银行、住房公积金管理机构应依法予以配合。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第二十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有下列情形之一的，由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市住房城乡建设局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责令其限期整改，整改期间暂停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项目商品房预（现）售和商品房网签备案系统使用权限，视情节予以通报等处理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（一）未按规定收存、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使用预售资金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（二）提供虚假材料申请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使用预售资金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（三）其他违反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监管规定的行为。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情节严重且逾期未整改到位的，实施联动处置，按照相关规定抄送企业总部、暂停其在全市所有商品房项目的预（现）售、商品房网签备案系统使用权限。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涉及违反相关法律法规的，依法依规严肃处理。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第二十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银行要严格按照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三方监管协议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做好监管账户监控，定期与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柳州市房产交易所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进行对账，发现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存在违规挪用监管额度内资金问题的，应当停止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划转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，并立即告知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柳州市房产交易所。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银行对于未经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柳州市房产交易所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审核的资金使用申请，不予办理监管额度内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资金使用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、划转手续。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银行违反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三方监管协议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，未经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柳州市房产交易所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核实同意，擅自拨付监管额度内资金的，应当负责追回资金，无法追回的依法承担相应赔偿责任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依照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三方监管协议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》条款进行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处理；情节严重的，除承担相应违约责任外，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市住房城乡建设局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予以公开通报，并抄送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人民银行柳州市中心支行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柳州银保监分局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第二十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银行业金融机构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有下列情形之一的，从违规事实确认之日起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年内不得在本市开展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监管业务，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市住房城乡建设局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不与其签订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《柳州市新建商品房预售资金监管金融委托协议》和《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三方监管协议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，同时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市住房城乡建设局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将其违规事项抄送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人民银行柳州市中心支行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柳州银保监分局：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按揭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贷款银行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未以资金缴存入预售资金监控账户凭证作为首付款缴存依据，未办理房屋抵押合同网签备案，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未按规定将购房人的按揭贷款、住房公积金贷款发放至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预售资金监控账户，且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不配合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整改的；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非监管银行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银行业金融机构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接到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柳州市房产交易所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等反映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将购房款违规收存至该行账户后，不配合划转或追缴资金至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预售资金监控账户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的。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第二十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勘察、设计、施工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等有关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单位提供虚假材料或采取其他方式协助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房地产开发企业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违规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使用预售资金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的，由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市住房城乡建设局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责令其限期改正，对逾期未整改到位的，视情节按规定从严从重处理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；构成犯罪的，依法移交司法机关追究刑事责任。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二十九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相关部门及银行工作人员在预售资金监管、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预售资金收存、使用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过程中，滥用职权、玩忽职守、徇私舞弊、泄露工作秘密的，依法给予处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理；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构成犯罪的，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依法移交司法机关追究刑事责任。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第六章  附则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三十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本细则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具体适用中的问题，由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市住房城乡建设局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进行解释。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三十一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本细则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自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2022年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日起施行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《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柳州市新建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商品房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预售资金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监管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使用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办法》（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柳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〔20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号）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同时废止，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现有规定与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本细则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规定不一致的，以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本细则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为准。国家、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自治区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有新规定的，按新规定执行。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</w:p>
    <w:p>
      <w:pPr>
        <w:tabs>
          <w:tab w:val="left" w:pos="1800"/>
        </w:tabs>
        <w:adjustRightInd w:val="0"/>
        <w:snapToGrid w:val="0"/>
        <w:spacing w:line="300" w:lineRule="auto"/>
        <w:rPr>
          <w:rFonts w:hint="eastAsia" w:eastAsia="仿宋_GB2312"/>
          <w:color w:val="auto"/>
          <w:sz w:val="32"/>
          <w:szCs w:val="32"/>
        </w:rPr>
      </w:pPr>
      <w:r>
        <w:rPr>
          <w:rFonts w:eastAsia="方正小标宋_GBK"/>
          <w:color w:val="auto"/>
          <w:sz w:val="32"/>
          <w:szCs w:val="32"/>
        </w:rPr>
        <w:t>公开方式：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主动</w:t>
      </w:r>
      <w:r>
        <w:rPr>
          <w:rFonts w:eastAsia="仿宋_GB2312"/>
          <w:color w:val="auto"/>
          <w:sz w:val="32"/>
          <w:szCs w:val="32"/>
        </w:rPr>
        <w:t>公开</w:t>
      </w:r>
      <w:bookmarkStart w:id="0" w:name="_GoBack"/>
      <w:bookmarkEnd w:id="0"/>
    </w:p>
    <w:sectPr>
      <w:pgSz w:w="11906" w:h="16838"/>
      <w:pgMar w:top="2098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492DF4"/>
    <w:multiLevelType w:val="singleLevel"/>
    <w:tmpl w:val="A4492DF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B1B17C3"/>
    <w:multiLevelType w:val="singleLevel"/>
    <w:tmpl w:val="BB1B17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8A1DC3E"/>
    <w:multiLevelType w:val="singleLevel"/>
    <w:tmpl w:val="08A1DC3E"/>
    <w:lvl w:ilvl="0" w:tentative="0">
      <w:start w:val="3"/>
      <w:numFmt w:val="chineseCounting"/>
      <w:suff w:val="space"/>
      <w:lvlText w:val="第%1条"/>
      <w:lvlJc w:val="left"/>
      <w:pPr>
        <w:ind w:left="-42"/>
      </w:pPr>
      <w:rPr>
        <w:rFonts w:hint="eastAsia"/>
      </w:rPr>
    </w:lvl>
  </w:abstractNum>
  <w:abstractNum w:abstractNumId="3">
    <w:nsid w:val="15C80DDB"/>
    <w:multiLevelType w:val="singleLevel"/>
    <w:tmpl w:val="15C80DDB"/>
    <w:lvl w:ilvl="0" w:tentative="0">
      <w:start w:val="19"/>
      <w:numFmt w:val="chineseCounting"/>
      <w:suff w:val="space"/>
      <w:lvlText w:val="第%1条"/>
      <w:lvlJc w:val="left"/>
      <w:pPr>
        <w:ind w:firstLine="40"/>
      </w:pPr>
      <w:rPr>
        <w:rFonts w:hint="eastAsia"/>
      </w:rPr>
    </w:lvl>
  </w:abstractNum>
  <w:abstractNum w:abstractNumId="4">
    <w:nsid w:val="1F857B2F"/>
    <w:multiLevelType w:val="singleLevel"/>
    <w:tmpl w:val="1F857B2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298F287"/>
    <w:multiLevelType w:val="singleLevel"/>
    <w:tmpl w:val="7298F287"/>
    <w:lvl w:ilvl="0" w:tentative="0">
      <w:start w:val="14"/>
      <w:numFmt w:val="chineseCounting"/>
      <w:suff w:val="space"/>
      <w:lvlText w:val="第%1条"/>
      <w:lvlJc w:val="left"/>
      <w:pPr>
        <w:ind w:left="21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MTc5Y2ZjMmM1OGY3ZDc4YzZjOWY3MmI1MTVkMjAifQ=="/>
  </w:docVars>
  <w:rsids>
    <w:rsidRoot w:val="00000000"/>
    <w:rsid w:val="0299120C"/>
    <w:rsid w:val="02D327E0"/>
    <w:rsid w:val="06AE3F94"/>
    <w:rsid w:val="08945512"/>
    <w:rsid w:val="0BE36E07"/>
    <w:rsid w:val="0D07062D"/>
    <w:rsid w:val="0DE9187B"/>
    <w:rsid w:val="0E41226D"/>
    <w:rsid w:val="0FFBA056"/>
    <w:rsid w:val="12F56DB4"/>
    <w:rsid w:val="14210150"/>
    <w:rsid w:val="14574D38"/>
    <w:rsid w:val="146A4898"/>
    <w:rsid w:val="17D77D7E"/>
    <w:rsid w:val="1AB0479B"/>
    <w:rsid w:val="1B5E2AB6"/>
    <w:rsid w:val="1B790D50"/>
    <w:rsid w:val="1BBD611A"/>
    <w:rsid w:val="1E8439DB"/>
    <w:rsid w:val="1FCC638E"/>
    <w:rsid w:val="1FD424F9"/>
    <w:rsid w:val="21382E58"/>
    <w:rsid w:val="23EC0755"/>
    <w:rsid w:val="260823CB"/>
    <w:rsid w:val="2642199A"/>
    <w:rsid w:val="26E97BC4"/>
    <w:rsid w:val="277BF8B4"/>
    <w:rsid w:val="285D30E8"/>
    <w:rsid w:val="2B9C4713"/>
    <w:rsid w:val="2D440774"/>
    <w:rsid w:val="2FA801C0"/>
    <w:rsid w:val="2FF76A46"/>
    <w:rsid w:val="32EC11F8"/>
    <w:rsid w:val="339E1BE5"/>
    <w:rsid w:val="33A15BB1"/>
    <w:rsid w:val="34634242"/>
    <w:rsid w:val="355D42CF"/>
    <w:rsid w:val="389179D6"/>
    <w:rsid w:val="3C823E13"/>
    <w:rsid w:val="3D81162A"/>
    <w:rsid w:val="3EE919DB"/>
    <w:rsid w:val="3F3B2B68"/>
    <w:rsid w:val="3FC629E6"/>
    <w:rsid w:val="3FEF3570"/>
    <w:rsid w:val="43344737"/>
    <w:rsid w:val="43A22DD9"/>
    <w:rsid w:val="45DB7536"/>
    <w:rsid w:val="475D6979"/>
    <w:rsid w:val="48F50166"/>
    <w:rsid w:val="4C36089D"/>
    <w:rsid w:val="51CF6F3E"/>
    <w:rsid w:val="567718EE"/>
    <w:rsid w:val="58105C66"/>
    <w:rsid w:val="583E17A2"/>
    <w:rsid w:val="5A4447DF"/>
    <w:rsid w:val="5A683D07"/>
    <w:rsid w:val="60ED3E40"/>
    <w:rsid w:val="622D22AC"/>
    <w:rsid w:val="68A11C00"/>
    <w:rsid w:val="696A67EC"/>
    <w:rsid w:val="69965A58"/>
    <w:rsid w:val="6A8F37D0"/>
    <w:rsid w:val="6B8A0C90"/>
    <w:rsid w:val="6DC131F2"/>
    <w:rsid w:val="703460E4"/>
    <w:rsid w:val="71396938"/>
    <w:rsid w:val="721F64A0"/>
    <w:rsid w:val="739A6421"/>
    <w:rsid w:val="73AB43A0"/>
    <w:rsid w:val="780D5EC3"/>
    <w:rsid w:val="79E868C8"/>
    <w:rsid w:val="7C0204A3"/>
    <w:rsid w:val="7F5CA1BC"/>
    <w:rsid w:val="7FEFBAD1"/>
    <w:rsid w:val="7FFFF0EB"/>
    <w:rsid w:val="AFFFFA20"/>
    <w:rsid w:val="BEAF2DBE"/>
    <w:rsid w:val="CEF37E5C"/>
    <w:rsid w:val="D6F61F73"/>
    <w:rsid w:val="DE123BB5"/>
    <w:rsid w:val="FBAB0E9D"/>
    <w:rsid w:val="FF5006E1"/>
    <w:rsid w:val="FF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7393</Words>
  <Characters>7436</Characters>
  <Lines>0</Lines>
  <Paragraphs>0</Paragraphs>
  <TotalTime>12</TotalTime>
  <ScaleCrop>false</ScaleCrop>
  <LinksUpToDate>false</LinksUpToDate>
  <CharactersWithSpaces>7626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Administrator</cp:lastModifiedBy>
  <cp:lastPrinted>2022-10-09T01:29:00Z</cp:lastPrinted>
  <dcterms:modified xsi:type="dcterms:W3CDTF">2022-10-11T09:15:43Z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0CC50A579E5C4E91BBB727743405F707</vt:lpwstr>
  </property>
</Properties>
</file>